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6"/>
        <w:gridCol w:w="2725"/>
        <w:gridCol w:w="2861"/>
      </w:tblGrid>
      <w:tr w:rsidR="00E052EB" w14:paraId="3C57413A" w14:textId="77777777" w:rsidTr="005C5E72">
        <w:trPr>
          <w:jc w:val="center"/>
        </w:trPr>
        <w:tc>
          <w:tcPr>
            <w:tcW w:w="3020" w:type="dxa"/>
          </w:tcPr>
          <w:p w14:paraId="6FAEA627" w14:textId="77777777" w:rsidR="00E052EB" w:rsidRDefault="005C5E72" w:rsidP="004B5DDB">
            <w:pPr>
              <w:jc w:val="both"/>
              <w:rPr>
                <w:rFonts w:cstheme="minorHAnsi"/>
                <w:sz w:val="24"/>
                <w:szCs w:val="24"/>
              </w:rPr>
            </w:pPr>
            <w:r>
              <w:rPr>
                <w:rFonts w:ascii="Arial" w:hAnsi="Arial" w:cs="Arial"/>
                <w:b/>
                <w:bCs/>
                <w:noProof/>
                <w:sz w:val="28"/>
                <w:szCs w:val="28"/>
                <w:lang w:eastAsia="fr-FR"/>
              </w:rPr>
              <w:drawing>
                <wp:anchor distT="0" distB="0" distL="114300" distR="114300" simplePos="0" relativeHeight="251659264" behindDoc="0" locked="0" layoutInCell="1" allowOverlap="1" wp14:anchorId="1C619321" wp14:editId="6656215E">
                  <wp:simplePos x="0" y="0"/>
                  <wp:positionH relativeFrom="column">
                    <wp:posOffset>-6350</wp:posOffset>
                  </wp:positionH>
                  <wp:positionV relativeFrom="paragraph">
                    <wp:posOffset>196215</wp:posOffset>
                  </wp:positionV>
                  <wp:extent cx="2068830" cy="1019175"/>
                  <wp:effectExtent l="0" t="0" r="7620" b="9525"/>
                  <wp:wrapSquare wrapText="right"/>
                  <wp:docPr id="2" name="Image 2" descr="C:\Users\ARCE\Desktop\LOGO DERNIERE VERSION\Logo ARC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ARCE\Desktop\LOGO DERNIERE VERSION\Logo ARCEP.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6883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21" w:type="dxa"/>
          </w:tcPr>
          <w:p w14:paraId="1A2929AB" w14:textId="77777777" w:rsidR="00E052EB" w:rsidRDefault="00E052EB" w:rsidP="004B5DDB">
            <w:pPr>
              <w:jc w:val="both"/>
              <w:rPr>
                <w:rFonts w:cstheme="minorHAnsi"/>
                <w:sz w:val="24"/>
                <w:szCs w:val="24"/>
              </w:rPr>
            </w:pPr>
          </w:p>
        </w:tc>
        <w:tc>
          <w:tcPr>
            <w:tcW w:w="3021" w:type="dxa"/>
          </w:tcPr>
          <w:p w14:paraId="38305692" w14:textId="77777777" w:rsidR="005C5E72" w:rsidRDefault="005C5E72" w:rsidP="005C5E72">
            <w:pPr>
              <w:autoSpaceDE w:val="0"/>
              <w:autoSpaceDN w:val="0"/>
              <w:adjustRightInd w:val="0"/>
              <w:jc w:val="center"/>
              <w:rPr>
                <w:rFonts w:ascii="Arial" w:hAnsi="Arial" w:cs="Arial"/>
                <w:b/>
                <w:bCs/>
                <w:sz w:val="28"/>
                <w:szCs w:val="28"/>
              </w:rPr>
            </w:pPr>
          </w:p>
          <w:p w14:paraId="3175E386" w14:textId="77777777" w:rsidR="005C5E72" w:rsidRDefault="005C5E72" w:rsidP="005C5E72">
            <w:pPr>
              <w:autoSpaceDE w:val="0"/>
              <w:autoSpaceDN w:val="0"/>
              <w:adjustRightInd w:val="0"/>
              <w:jc w:val="center"/>
              <w:rPr>
                <w:rFonts w:ascii="Arial" w:hAnsi="Arial" w:cs="Arial"/>
                <w:b/>
                <w:bCs/>
                <w:sz w:val="28"/>
                <w:szCs w:val="28"/>
              </w:rPr>
            </w:pPr>
          </w:p>
          <w:p w14:paraId="12A66645" w14:textId="77777777" w:rsidR="005C5E72" w:rsidRDefault="005C5E72" w:rsidP="005C5E72">
            <w:pPr>
              <w:autoSpaceDE w:val="0"/>
              <w:autoSpaceDN w:val="0"/>
              <w:adjustRightInd w:val="0"/>
              <w:jc w:val="center"/>
              <w:rPr>
                <w:rFonts w:ascii="Arial" w:hAnsi="Arial" w:cs="Arial"/>
                <w:b/>
                <w:bCs/>
                <w:sz w:val="28"/>
                <w:szCs w:val="28"/>
              </w:rPr>
            </w:pPr>
            <w:r>
              <w:rPr>
                <w:rFonts w:ascii="Arial" w:hAnsi="Arial" w:cs="Arial"/>
                <w:b/>
                <w:bCs/>
                <w:sz w:val="28"/>
                <w:szCs w:val="28"/>
              </w:rPr>
              <w:t>BURKINA FASO</w:t>
            </w:r>
          </w:p>
          <w:p w14:paraId="14AE2FB3" w14:textId="77777777" w:rsidR="005C5E72" w:rsidRPr="003A6D8B" w:rsidRDefault="005C5E72" w:rsidP="005C5E72">
            <w:pPr>
              <w:autoSpaceDE w:val="0"/>
              <w:autoSpaceDN w:val="0"/>
              <w:adjustRightInd w:val="0"/>
              <w:jc w:val="center"/>
              <w:rPr>
                <w:rFonts w:ascii="Arial" w:hAnsi="Arial" w:cs="Arial"/>
                <w:bCs/>
                <w:sz w:val="20"/>
                <w:szCs w:val="20"/>
              </w:rPr>
            </w:pPr>
          </w:p>
          <w:p w14:paraId="79689634" w14:textId="77777777" w:rsidR="00E052EB" w:rsidRDefault="005C5E72" w:rsidP="005C5E72">
            <w:pPr>
              <w:jc w:val="center"/>
              <w:rPr>
                <w:rFonts w:cstheme="minorHAnsi"/>
                <w:sz w:val="24"/>
                <w:szCs w:val="24"/>
              </w:rPr>
            </w:pPr>
            <w:r w:rsidRPr="003A6D8B">
              <w:rPr>
                <w:rFonts w:ascii="Arial" w:hAnsi="Arial" w:cs="Arial"/>
                <w:bCs/>
              </w:rPr>
              <w:t>Unité – Progrès – Justice</w:t>
            </w:r>
          </w:p>
        </w:tc>
      </w:tr>
    </w:tbl>
    <w:p w14:paraId="7A6E1D1E" w14:textId="77777777" w:rsidR="00E236C1" w:rsidRDefault="00E236C1" w:rsidP="004B5DDB">
      <w:pPr>
        <w:spacing w:after="0" w:line="240" w:lineRule="auto"/>
        <w:jc w:val="both"/>
        <w:rPr>
          <w:rFonts w:cstheme="minorHAnsi"/>
          <w:sz w:val="24"/>
          <w:szCs w:val="24"/>
        </w:rPr>
      </w:pPr>
    </w:p>
    <w:p w14:paraId="6D5FF9F0" w14:textId="77777777" w:rsidR="005C5E72" w:rsidRDefault="005C5E72" w:rsidP="004B5DDB">
      <w:pPr>
        <w:spacing w:after="0" w:line="240" w:lineRule="auto"/>
        <w:jc w:val="both"/>
        <w:rPr>
          <w:rFonts w:cstheme="minorHAnsi"/>
          <w:sz w:val="24"/>
          <w:szCs w:val="24"/>
        </w:rPr>
      </w:pPr>
    </w:p>
    <w:p w14:paraId="160457B6" w14:textId="77777777" w:rsidR="005C5E72" w:rsidRDefault="005C5E72" w:rsidP="004B5DDB">
      <w:pPr>
        <w:spacing w:after="0" w:line="240" w:lineRule="auto"/>
        <w:jc w:val="both"/>
        <w:rPr>
          <w:rFonts w:cstheme="minorHAnsi"/>
          <w:sz w:val="24"/>
          <w:szCs w:val="24"/>
        </w:rPr>
      </w:pPr>
    </w:p>
    <w:p w14:paraId="3FA5ADC5" w14:textId="77777777" w:rsidR="005C5E72" w:rsidRDefault="005C5E72" w:rsidP="004B5DDB">
      <w:pPr>
        <w:spacing w:after="0" w:line="240" w:lineRule="auto"/>
        <w:jc w:val="both"/>
        <w:rPr>
          <w:rFonts w:cstheme="minorHAnsi"/>
          <w:sz w:val="24"/>
          <w:szCs w:val="24"/>
        </w:rPr>
      </w:pPr>
    </w:p>
    <w:p w14:paraId="52083170" w14:textId="77777777" w:rsidR="005C5E72" w:rsidRDefault="005C5E72" w:rsidP="004B5DDB">
      <w:pPr>
        <w:spacing w:after="0" w:line="240" w:lineRule="auto"/>
        <w:jc w:val="both"/>
        <w:rPr>
          <w:rFonts w:cstheme="minorHAnsi"/>
          <w:sz w:val="24"/>
          <w:szCs w:val="24"/>
        </w:rPr>
      </w:pPr>
    </w:p>
    <w:p w14:paraId="1F5D6B7C" w14:textId="77777777" w:rsidR="005C5E72" w:rsidRDefault="005C5E72" w:rsidP="004B5DDB">
      <w:pPr>
        <w:spacing w:after="0" w:line="240" w:lineRule="auto"/>
        <w:jc w:val="both"/>
        <w:rPr>
          <w:rFonts w:cstheme="minorHAnsi"/>
          <w:sz w:val="24"/>
          <w:szCs w:val="24"/>
        </w:rPr>
      </w:pPr>
    </w:p>
    <w:p w14:paraId="5DF126B2" w14:textId="77777777" w:rsidR="005C5E72" w:rsidRDefault="005C5E72" w:rsidP="004B5DDB">
      <w:pPr>
        <w:spacing w:after="0" w:line="240" w:lineRule="auto"/>
        <w:jc w:val="both"/>
        <w:rPr>
          <w:rFonts w:cstheme="minorHAnsi"/>
          <w:sz w:val="24"/>
          <w:szCs w:val="24"/>
        </w:rPr>
      </w:pPr>
    </w:p>
    <w:p w14:paraId="076672C7" w14:textId="77777777" w:rsidR="005C5E72" w:rsidRDefault="005C5E72" w:rsidP="004B5DDB">
      <w:pPr>
        <w:spacing w:after="0" w:line="240" w:lineRule="auto"/>
        <w:jc w:val="both"/>
        <w:rPr>
          <w:rFonts w:cstheme="minorHAnsi"/>
          <w:sz w:val="24"/>
          <w:szCs w:val="24"/>
        </w:rPr>
      </w:pPr>
    </w:p>
    <w:p w14:paraId="004DF64B" w14:textId="77777777" w:rsidR="005C5E72" w:rsidRDefault="005C5E72" w:rsidP="004B5DDB">
      <w:pPr>
        <w:spacing w:after="0" w:line="240" w:lineRule="auto"/>
        <w:jc w:val="both"/>
        <w:rPr>
          <w:rFonts w:cstheme="minorHAnsi"/>
          <w:sz w:val="24"/>
          <w:szCs w:val="24"/>
        </w:rPr>
      </w:pPr>
    </w:p>
    <w:p w14:paraId="49EE3EFD" w14:textId="77777777" w:rsidR="005C5E72" w:rsidRDefault="005C5E72" w:rsidP="004B5DDB">
      <w:pPr>
        <w:spacing w:after="0" w:line="240" w:lineRule="auto"/>
        <w:jc w:val="both"/>
        <w:rPr>
          <w:rFonts w:cstheme="minorHAnsi"/>
          <w:sz w:val="24"/>
          <w:szCs w:val="24"/>
        </w:rPr>
      </w:pPr>
    </w:p>
    <w:p w14:paraId="53F33C0A" w14:textId="77777777" w:rsidR="005C5E72" w:rsidRDefault="005C5E72" w:rsidP="004B5DDB">
      <w:pPr>
        <w:spacing w:after="0" w:line="240" w:lineRule="auto"/>
        <w:jc w:val="both"/>
        <w:rPr>
          <w:rFonts w:cstheme="minorHAnsi"/>
          <w:sz w:val="24"/>
          <w:szCs w:val="24"/>
        </w:rPr>
      </w:pPr>
    </w:p>
    <w:p w14:paraId="3553227A" w14:textId="77777777" w:rsidR="005C5E72" w:rsidRDefault="005C5E72" w:rsidP="004B5DDB">
      <w:pPr>
        <w:spacing w:after="0" w:line="240" w:lineRule="auto"/>
        <w:jc w:val="both"/>
        <w:rPr>
          <w:rFonts w:cstheme="minorHAnsi"/>
          <w:sz w:val="24"/>
          <w:szCs w:val="24"/>
        </w:rPr>
      </w:pPr>
    </w:p>
    <w:p w14:paraId="515E69CD" w14:textId="77777777" w:rsidR="00E052EB" w:rsidRDefault="00E052EB" w:rsidP="004B5DDB">
      <w:pPr>
        <w:spacing w:after="0" w:line="240" w:lineRule="auto"/>
        <w:jc w:val="both"/>
        <w:rPr>
          <w:rFonts w:cstheme="minorHAnsi"/>
          <w:sz w:val="24"/>
          <w:szCs w:val="24"/>
        </w:rPr>
      </w:pPr>
    </w:p>
    <w:tbl>
      <w:tblPr>
        <w:tblStyle w:val="Grilledutableau"/>
        <w:tblW w:w="0" w:type="auto"/>
        <w:tblLook w:val="04A0" w:firstRow="1" w:lastRow="0" w:firstColumn="1" w:lastColumn="0" w:noHBand="0" w:noVBand="1"/>
      </w:tblPr>
      <w:tblGrid>
        <w:gridCol w:w="9062"/>
      </w:tblGrid>
      <w:tr w:rsidR="005C5E72" w14:paraId="57C7EEB9" w14:textId="77777777" w:rsidTr="005C5E72">
        <w:tc>
          <w:tcPr>
            <w:tcW w:w="9062" w:type="dxa"/>
          </w:tcPr>
          <w:p w14:paraId="2E0DC241" w14:textId="77777777" w:rsidR="005C5E72" w:rsidRPr="005C5E72" w:rsidRDefault="005C5E72" w:rsidP="005C5E72">
            <w:pPr>
              <w:jc w:val="center"/>
              <w:rPr>
                <w:rFonts w:cstheme="minorHAnsi"/>
                <w:b/>
                <w:sz w:val="56"/>
                <w:szCs w:val="56"/>
              </w:rPr>
            </w:pPr>
            <w:r w:rsidRPr="005C5E72">
              <w:rPr>
                <w:rFonts w:cstheme="minorHAnsi"/>
                <w:b/>
                <w:sz w:val="56"/>
                <w:szCs w:val="56"/>
              </w:rPr>
              <w:t>Consultation publique :</w:t>
            </w:r>
          </w:p>
          <w:p w14:paraId="60E1F6DA" w14:textId="77777777" w:rsidR="005C5E72" w:rsidRPr="005C5E72" w:rsidRDefault="005C5E72" w:rsidP="005C5E72">
            <w:pPr>
              <w:jc w:val="center"/>
              <w:rPr>
                <w:rFonts w:cstheme="minorHAnsi"/>
                <w:b/>
                <w:sz w:val="56"/>
                <w:szCs w:val="56"/>
              </w:rPr>
            </w:pPr>
            <w:r w:rsidRPr="005C5E72">
              <w:rPr>
                <w:rFonts w:cstheme="minorHAnsi"/>
                <w:b/>
                <w:sz w:val="56"/>
                <w:szCs w:val="56"/>
              </w:rPr>
              <w:t>Attribution de fréquences pour la fourniture d’accès Internet fixe</w:t>
            </w:r>
          </w:p>
        </w:tc>
      </w:tr>
    </w:tbl>
    <w:p w14:paraId="2C1E0DC5" w14:textId="77777777" w:rsidR="005C5E72" w:rsidRDefault="005C5E72" w:rsidP="004B5DDB">
      <w:pPr>
        <w:spacing w:after="0" w:line="240" w:lineRule="auto"/>
        <w:jc w:val="both"/>
        <w:rPr>
          <w:rFonts w:cstheme="minorHAnsi"/>
          <w:sz w:val="24"/>
          <w:szCs w:val="24"/>
        </w:rPr>
      </w:pPr>
    </w:p>
    <w:p w14:paraId="1802FAE3" w14:textId="77777777" w:rsidR="005C5E72" w:rsidRDefault="005C5E72" w:rsidP="004B5DDB">
      <w:pPr>
        <w:spacing w:after="0" w:line="240" w:lineRule="auto"/>
        <w:jc w:val="both"/>
        <w:rPr>
          <w:rFonts w:cstheme="minorHAnsi"/>
          <w:sz w:val="24"/>
          <w:szCs w:val="24"/>
        </w:rPr>
      </w:pPr>
    </w:p>
    <w:p w14:paraId="455F9268" w14:textId="77777777" w:rsidR="005C5E72" w:rsidRDefault="005C5E72" w:rsidP="004B5DDB">
      <w:pPr>
        <w:spacing w:after="0" w:line="240" w:lineRule="auto"/>
        <w:jc w:val="both"/>
        <w:rPr>
          <w:rFonts w:cstheme="minorHAnsi"/>
          <w:sz w:val="24"/>
          <w:szCs w:val="24"/>
        </w:rPr>
      </w:pPr>
    </w:p>
    <w:p w14:paraId="7E80859B" w14:textId="77777777" w:rsidR="005C5E72" w:rsidRDefault="005C5E72" w:rsidP="004B5DDB">
      <w:pPr>
        <w:spacing w:after="0" w:line="240" w:lineRule="auto"/>
        <w:jc w:val="both"/>
        <w:rPr>
          <w:rFonts w:cstheme="minorHAnsi"/>
          <w:sz w:val="24"/>
          <w:szCs w:val="24"/>
        </w:rPr>
      </w:pPr>
    </w:p>
    <w:p w14:paraId="239285BE" w14:textId="77777777" w:rsidR="005C5E72" w:rsidRDefault="005C5E72" w:rsidP="004B5DDB">
      <w:pPr>
        <w:spacing w:after="0" w:line="240" w:lineRule="auto"/>
        <w:jc w:val="both"/>
        <w:rPr>
          <w:rFonts w:cstheme="minorHAnsi"/>
          <w:sz w:val="24"/>
          <w:szCs w:val="24"/>
        </w:rPr>
      </w:pPr>
    </w:p>
    <w:p w14:paraId="47219C5F" w14:textId="77777777" w:rsidR="005C5E72" w:rsidRDefault="005C5E72" w:rsidP="004B5DDB">
      <w:pPr>
        <w:spacing w:after="0" w:line="240" w:lineRule="auto"/>
        <w:jc w:val="both"/>
        <w:rPr>
          <w:rFonts w:cstheme="minorHAnsi"/>
          <w:sz w:val="24"/>
          <w:szCs w:val="24"/>
        </w:rPr>
      </w:pPr>
    </w:p>
    <w:p w14:paraId="6F78B3E3" w14:textId="77777777" w:rsidR="005C5E72" w:rsidRDefault="005C5E72" w:rsidP="004B5DDB">
      <w:pPr>
        <w:spacing w:after="0" w:line="240" w:lineRule="auto"/>
        <w:jc w:val="both"/>
        <w:rPr>
          <w:rFonts w:cstheme="minorHAnsi"/>
          <w:sz w:val="24"/>
          <w:szCs w:val="24"/>
        </w:rPr>
      </w:pPr>
    </w:p>
    <w:p w14:paraId="049A0155" w14:textId="77777777" w:rsidR="005C5E72" w:rsidRDefault="005C5E72" w:rsidP="004B5DDB">
      <w:pPr>
        <w:spacing w:after="0" w:line="240" w:lineRule="auto"/>
        <w:jc w:val="both"/>
        <w:rPr>
          <w:rFonts w:cstheme="minorHAnsi"/>
          <w:sz w:val="24"/>
          <w:szCs w:val="24"/>
        </w:rPr>
      </w:pPr>
    </w:p>
    <w:p w14:paraId="2331C2B8" w14:textId="77777777" w:rsidR="005C5E72" w:rsidRDefault="005C5E72" w:rsidP="004B5DDB">
      <w:pPr>
        <w:spacing w:after="0" w:line="240" w:lineRule="auto"/>
        <w:jc w:val="both"/>
        <w:rPr>
          <w:rFonts w:cstheme="minorHAnsi"/>
          <w:sz w:val="24"/>
          <w:szCs w:val="24"/>
        </w:rPr>
      </w:pPr>
    </w:p>
    <w:p w14:paraId="4707C018" w14:textId="77777777" w:rsidR="005C5E72" w:rsidRDefault="005C5E72" w:rsidP="004B5DDB">
      <w:pPr>
        <w:spacing w:after="0" w:line="240" w:lineRule="auto"/>
        <w:jc w:val="both"/>
        <w:rPr>
          <w:rFonts w:cstheme="minorHAnsi"/>
          <w:sz w:val="24"/>
          <w:szCs w:val="24"/>
        </w:rPr>
      </w:pPr>
    </w:p>
    <w:p w14:paraId="0F613BDA" w14:textId="77777777" w:rsidR="005C5E72" w:rsidRDefault="005C5E72" w:rsidP="004B5DDB">
      <w:pPr>
        <w:spacing w:after="0" w:line="240" w:lineRule="auto"/>
        <w:jc w:val="both"/>
        <w:rPr>
          <w:rFonts w:cstheme="minorHAnsi"/>
          <w:sz w:val="24"/>
          <w:szCs w:val="24"/>
        </w:rPr>
      </w:pPr>
    </w:p>
    <w:p w14:paraId="2041D996" w14:textId="77777777" w:rsidR="005C5E72" w:rsidRDefault="005C5E72" w:rsidP="004B5DDB">
      <w:pPr>
        <w:spacing w:after="0" w:line="240" w:lineRule="auto"/>
        <w:jc w:val="both"/>
        <w:rPr>
          <w:rFonts w:cstheme="minorHAnsi"/>
          <w:sz w:val="24"/>
          <w:szCs w:val="24"/>
        </w:rPr>
      </w:pPr>
    </w:p>
    <w:p w14:paraId="19451C99" w14:textId="77777777" w:rsidR="005C5E72" w:rsidRDefault="005C5E72" w:rsidP="004B5DDB">
      <w:pPr>
        <w:spacing w:after="0" w:line="240" w:lineRule="auto"/>
        <w:jc w:val="both"/>
        <w:rPr>
          <w:rFonts w:cstheme="minorHAnsi"/>
          <w:sz w:val="24"/>
          <w:szCs w:val="24"/>
        </w:rPr>
      </w:pPr>
    </w:p>
    <w:p w14:paraId="0B66C98A" w14:textId="77777777" w:rsidR="005C5E72" w:rsidRDefault="005C5E72" w:rsidP="004B5DDB">
      <w:pPr>
        <w:spacing w:after="0" w:line="240" w:lineRule="auto"/>
        <w:jc w:val="both"/>
        <w:rPr>
          <w:rFonts w:cstheme="minorHAnsi"/>
          <w:sz w:val="24"/>
          <w:szCs w:val="24"/>
        </w:rPr>
      </w:pPr>
    </w:p>
    <w:p w14:paraId="014E7034" w14:textId="77777777" w:rsidR="005C5E72" w:rsidRDefault="005C5E72" w:rsidP="004B5DDB">
      <w:pPr>
        <w:spacing w:after="0" w:line="240" w:lineRule="auto"/>
        <w:jc w:val="both"/>
        <w:rPr>
          <w:rFonts w:cstheme="minorHAnsi"/>
          <w:sz w:val="24"/>
          <w:szCs w:val="24"/>
        </w:rPr>
      </w:pPr>
    </w:p>
    <w:p w14:paraId="39332FCA" w14:textId="77777777" w:rsidR="005C5E72" w:rsidRDefault="005C5E72" w:rsidP="004B5DDB">
      <w:pPr>
        <w:spacing w:after="0" w:line="240" w:lineRule="auto"/>
        <w:jc w:val="both"/>
        <w:rPr>
          <w:rFonts w:cstheme="minorHAnsi"/>
          <w:sz w:val="24"/>
          <w:szCs w:val="24"/>
        </w:rPr>
      </w:pPr>
    </w:p>
    <w:p w14:paraId="7BBD3B5C" w14:textId="77777777" w:rsidR="005C5E72" w:rsidRDefault="005C5E72" w:rsidP="004B5DDB">
      <w:pPr>
        <w:spacing w:after="0" w:line="240" w:lineRule="auto"/>
        <w:jc w:val="both"/>
        <w:rPr>
          <w:rFonts w:cstheme="minorHAnsi"/>
          <w:sz w:val="24"/>
          <w:szCs w:val="24"/>
        </w:rPr>
      </w:pPr>
    </w:p>
    <w:p w14:paraId="259B4211" w14:textId="77777777" w:rsidR="005C5E72" w:rsidRDefault="005C5E72" w:rsidP="004B5DDB">
      <w:pPr>
        <w:spacing w:after="0" w:line="240" w:lineRule="auto"/>
        <w:jc w:val="both"/>
        <w:rPr>
          <w:rFonts w:cstheme="minorHAnsi"/>
          <w:sz w:val="24"/>
          <w:szCs w:val="24"/>
        </w:rPr>
      </w:pPr>
    </w:p>
    <w:p w14:paraId="50425393" w14:textId="77777777" w:rsidR="005C5E72" w:rsidRDefault="005C5E72" w:rsidP="004B5DDB">
      <w:pPr>
        <w:spacing w:after="0" w:line="240" w:lineRule="auto"/>
        <w:jc w:val="both"/>
        <w:rPr>
          <w:rFonts w:cstheme="minorHAnsi"/>
          <w:sz w:val="24"/>
          <w:szCs w:val="24"/>
        </w:rPr>
      </w:pPr>
    </w:p>
    <w:p w14:paraId="1B8D2098" w14:textId="3997CA93" w:rsidR="00E052EB" w:rsidRPr="00E052EB" w:rsidRDefault="00754B5F" w:rsidP="00E052EB">
      <w:pPr>
        <w:spacing w:after="0" w:line="240" w:lineRule="auto"/>
        <w:jc w:val="center"/>
        <w:rPr>
          <w:rFonts w:cstheme="minorHAnsi"/>
          <w:b/>
          <w:sz w:val="24"/>
          <w:szCs w:val="24"/>
        </w:rPr>
      </w:pPr>
      <w:r>
        <w:rPr>
          <w:rFonts w:cstheme="minorHAnsi"/>
          <w:b/>
          <w:sz w:val="24"/>
          <w:szCs w:val="24"/>
        </w:rPr>
        <w:t>1</w:t>
      </w:r>
      <w:r w:rsidRPr="00754B5F">
        <w:rPr>
          <w:rFonts w:cstheme="minorHAnsi"/>
          <w:b/>
          <w:sz w:val="24"/>
          <w:szCs w:val="24"/>
          <w:vertAlign w:val="superscript"/>
        </w:rPr>
        <w:t>er</w:t>
      </w:r>
      <w:r>
        <w:rPr>
          <w:rFonts w:cstheme="minorHAnsi"/>
          <w:b/>
          <w:sz w:val="24"/>
          <w:szCs w:val="24"/>
        </w:rPr>
        <w:t xml:space="preserve"> </w:t>
      </w:r>
      <w:r w:rsidR="00F8119E">
        <w:rPr>
          <w:rFonts w:cstheme="minorHAnsi"/>
          <w:b/>
          <w:sz w:val="24"/>
          <w:szCs w:val="24"/>
        </w:rPr>
        <w:t>Décembre</w:t>
      </w:r>
      <w:r w:rsidR="00E052EB" w:rsidRPr="00E052EB">
        <w:rPr>
          <w:rFonts w:cstheme="minorHAnsi"/>
          <w:b/>
          <w:sz w:val="24"/>
          <w:szCs w:val="24"/>
        </w:rPr>
        <w:t xml:space="preserve"> 2020</w:t>
      </w:r>
    </w:p>
    <w:p w14:paraId="10283A2B" w14:textId="77777777" w:rsidR="00E052EB" w:rsidRDefault="00E052EB" w:rsidP="004B5DDB">
      <w:pPr>
        <w:spacing w:after="0" w:line="240" w:lineRule="auto"/>
        <w:jc w:val="both"/>
        <w:rPr>
          <w:rFonts w:cstheme="minorHAnsi"/>
          <w:sz w:val="24"/>
          <w:szCs w:val="24"/>
        </w:rPr>
      </w:pPr>
    </w:p>
    <w:p w14:paraId="724C3A04" w14:textId="77777777" w:rsidR="00E052EB" w:rsidRDefault="00E052EB" w:rsidP="004B5DDB">
      <w:pPr>
        <w:spacing w:after="0" w:line="240" w:lineRule="auto"/>
        <w:jc w:val="both"/>
        <w:rPr>
          <w:rFonts w:cstheme="minorHAnsi"/>
          <w:sz w:val="24"/>
          <w:szCs w:val="24"/>
        </w:rPr>
        <w:sectPr w:rsidR="00E052EB" w:rsidSect="00E052EB">
          <w:footerReference w:type="default" r:id="rId8"/>
          <w:pgSz w:w="11906" w:h="16838"/>
          <w:pgMar w:top="1417" w:right="1417" w:bottom="1417" w:left="1417"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titlePg/>
          <w:docGrid w:linePitch="360"/>
        </w:sectPr>
      </w:pPr>
    </w:p>
    <w:p w14:paraId="79AA78CF" w14:textId="77777777" w:rsidR="00337168" w:rsidRDefault="00337168" w:rsidP="001E5E39">
      <w:pPr>
        <w:spacing w:after="0" w:line="240" w:lineRule="auto"/>
        <w:rPr>
          <w:b/>
          <w:sz w:val="24"/>
          <w:szCs w:val="24"/>
        </w:rPr>
      </w:pPr>
    </w:p>
    <w:p w14:paraId="715AA6B5" w14:textId="08E5F9BD" w:rsidR="004B5DDB" w:rsidRPr="001E5E39" w:rsidRDefault="001E5E39" w:rsidP="001E5E39">
      <w:pPr>
        <w:spacing w:after="0" w:line="240" w:lineRule="auto"/>
        <w:rPr>
          <w:b/>
          <w:sz w:val="24"/>
          <w:szCs w:val="24"/>
        </w:rPr>
      </w:pPr>
      <w:r w:rsidRPr="001E5E39">
        <w:rPr>
          <w:b/>
          <w:sz w:val="24"/>
          <w:szCs w:val="24"/>
        </w:rPr>
        <w:t>1.</w:t>
      </w:r>
      <w:r>
        <w:rPr>
          <w:b/>
          <w:sz w:val="24"/>
          <w:szCs w:val="24"/>
        </w:rPr>
        <w:t xml:space="preserve"> </w:t>
      </w:r>
      <w:r w:rsidR="009D6473">
        <w:rPr>
          <w:b/>
          <w:sz w:val="24"/>
          <w:szCs w:val="24"/>
        </w:rPr>
        <w:t>Modalités de la consultation</w:t>
      </w:r>
    </w:p>
    <w:p w14:paraId="11F2ACDE" w14:textId="77777777" w:rsidR="009D6473" w:rsidRDefault="009D6473" w:rsidP="004B5DDB">
      <w:pPr>
        <w:spacing w:after="0" w:line="240" w:lineRule="auto"/>
      </w:pPr>
    </w:p>
    <w:p w14:paraId="0ABE7CBA" w14:textId="7A07FCB7" w:rsidR="000948BD" w:rsidRDefault="000948BD" w:rsidP="00FD79DC">
      <w:pPr>
        <w:spacing w:after="0" w:line="240" w:lineRule="auto"/>
        <w:jc w:val="both"/>
      </w:pPr>
      <w:r>
        <w:t xml:space="preserve">La présente consultation publique vise à recueillir l’avis des acteurs intéressés sur le sujet décrit au point 2 du présent document. Afin de faciliter la compilation des commentaires, les contributeurs sont invités à indiquer clairement le numéro de la question à laquelle ils apportent un commentaire. La consultation est ouverte jusqu’à la date du </w:t>
      </w:r>
      <w:r w:rsidR="00F8119E">
        <w:t>05 janvier 2021</w:t>
      </w:r>
      <w:r>
        <w:t xml:space="preserve"> à </w:t>
      </w:r>
      <w:r w:rsidR="00F8119E">
        <w:t>16</w:t>
      </w:r>
      <w:r>
        <w:t xml:space="preserve"> heures</w:t>
      </w:r>
      <w:r w:rsidR="00F8119E">
        <w:t xml:space="preserve"> TU</w:t>
      </w:r>
      <w:r w:rsidR="00AB2079">
        <w:t>.</w:t>
      </w:r>
    </w:p>
    <w:p w14:paraId="44045815" w14:textId="14605F13" w:rsidR="000948BD" w:rsidRDefault="000948BD" w:rsidP="00FD79DC">
      <w:pPr>
        <w:spacing w:after="0" w:line="240" w:lineRule="auto"/>
        <w:jc w:val="both"/>
      </w:pPr>
    </w:p>
    <w:p w14:paraId="72E4B13A" w14:textId="54FBE2B3" w:rsidR="000948BD" w:rsidRDefault="008279C5" w:rsidP="00FD79DC">
      <w:pPr>
        <w:spacing w:after="0" w:line="240" w:lineRule="auto"/>
        <w:jc w:val="both"/>
      </w:pPr>
      <w:r>
        <w:t xml:space="preserve">Les contributions devront être transmises à l’ARCEP, de préférence par courrier électronique à l’adresse </w:t>
      </w:r>
      <w:hyperlink r:id="rId9" w:history="1">
        <w:r w:rsidRPr="00556A67">
          <w:rPr>
            <w:rStyle w:val="Lienhypertexte"/>
          </w:rPr>
          <w:t>secretariat@arcep.bf</w:t>
        </w:r>
      </w:hyperlink>
      <w:r>
        <w:t xml:space="preserve">. Les contributions peuvent être également déposées à l’accueil au siège de l’ARCEP ou transmises par courrier à l’adresse 01 BP 6437 Ouagadougou 01, Burkina Faso. </w:t>
      </w:r>
      <w:r w:rsidR="000948BD">
        <w:t>La réponse à la présente consultation publique se composera</w:t>
      </w:r>
      <w:r w:rsidR="00D90F63">
        <w:t> :</w:t>
      </w:r>
    </w:p>
    <w:p w14:paraId="00037735" w14:textId="04EA21D8" w:rsidR="000948BD" w:rsidRDefault="000948BD" w:rsidP="00FD79DC">
      <w:pPr>
        <w:pStyle w:val="Paragraphedeliste"/>
        <w:numPr>
          <w:ilvl w:val="0"/>
          <w:numId w:val="6"/>
        </w:numPr>
        <w:spacing w:after="0" w:line="240" w:lineRule="auto"/>
        <w:jc w:val="both"/>
      </w:pPr>
      <w:r>
        <w:t>d’un courrier adressé au Président de l’ARCEP</w:t>
      </w:r>
      <w:r w:rsidR="00EA1EA8">
        <w:t xml:space="preserve">, précisant l’identité </w:t>
      </w:r>
      <w:r w:rsidR="007D4541">
        <w:t xml:space="preserve">et le domaine d’activités </w:t>
      </w:r>
      <w:r w:rsidR="00EA1EA8">
        <w:t>du contributeur</w:t>
      </w:r>
      <w:r w:rsidR="008279C5">
        <w:t>. Le courrier devra être signé puis scanné dan</w:t>
      </w:r>
      <w:r w:rsidR="007D4541">
        <w:t>s le cas d’un envoi par courrier</w:t>
      </w:r>
      <w:r w:rsidR="008279C5">
        <w:t xml:space="preserve"> électronique.</w:t>
      </w:r>
    </w:p>
    <w:p w14:paraId="28C3B4ED" w14:textId="5F4356AD" w:rsidR="000948BD" w:rsidRDefault="00D90F63" w:rsidP="00FD79DC">
      <w:pPr>
        <w:pStyle w:val="Paragraphedeliste"/>
        <w:numPr>
          <w:ilvl w:val="0"/>
          <w:numId w:val="6"/>
        </w:numPr>
        <w:spacing w:after="0" w:line="240" w:lineRule="auto"/>
        <w:jc w:val="both"/>
      </w:pPr>
      <w:r>
        <w:t>d’</w:t>
      </w:r>
      <w:r w:rsidR="000948BD">
        <w:t xml:space="preserve">un fichier au format Microsoft WORD </w:t>
      </w:r>
      <w:r>
        <w:t>contenant</w:t>
      </w:r>
      <w:r w:rsidR="000948BD">
        <w:t xml:space="preserve"> les </w:t>
      </w:r>
      <w:r w:rsidR="00E66311">
        <w:t>commentaires du contributeur</w:t>
      </w:r>
      <w:r w:rsidR="000948BD">
        <w:t>.</w:t>
      </w:r>
      <w:r w:rsidR="008279C5">
        <w:t xml:space="preserve"> Le fichier devra être livré sur un support numérique dans le cas d’un envoi pour courrier ordinaire ou dépôt au siège de l’ARCEP.</w:t>
      </w:r>
    </w:p>
    <w:p w14:paraId="59F9F1EA" w14:textId="60647175" w:rsidR="000948BD" w:rsidRDefault="000948BD" w:rsidP="00FD79DC">
      <w:pPr>
        <w:spacing w:after="0" w:line="240" w:lineRule="auto"/>
        <w:jc w:val="both"/>
      </w:pPr>
      <w:r>
        <w:t xml:space="preserve"> </w:t>
      </w:r>
    </w:p>
    <w:p w14:paraId="0E036B16" w14:textId="29C426D1" w:rsidR="00D21021" w:rsidRDefault="00D21021" w:rsidP="00FD79DC">
      <w:pPr>
        <w:spacing w:after="0" w:line="240" w:lineRule="auto"/>
        <w:jc w:val="both"/>
      </w:pPr>
      <w:r>
        <w:t xml:space="preserve">Il est rappelé aux contributeurs que l’ARCEP se réserve le droit de publier tout ou partie des commentaires qui </w:t>
      </w:r>
      <w:r w:rsidR="007D4541">
        <w:t xml:space="preserve">seront </w:t>
      </w:r>
      <w:r>
        <w:t xml:space="preserve">reçus. </w:t>
      </w:r>
      <w:r w:rsidR="008279C5">
        <w:t>A ce titre les contributeurs sont invités à limiter les commentaires sous couvert de</w:t>
      </w:r>
      <w:r>
        <w:t xml:space="preserve"> confidentialité ou </w:t>
      </w:r>
      <w:r w:rsidR="008279C5">
        <w:t xml:space="preserve">de </w:t>
      </w:r>
      <w:r>
        <w:t>secret des affaires</w:t>
      </w:r>
      <w:r w:rsidR="008279C5">
        <w:t>. Si de tels commentaires sont indispensables à la présente consultation publique, les contributeurs sont invités à indiquer clairement le passage concerné.</w:t>
      </w:r>
    </w:p>
    <w:p w14:paraId="5814B4D5" w14:textId="6A710CC2" w:rsidR="000948BD" w:rsidRDefault="000948BD" w:rsidP="00FD79DC">
      <w:pPr>
        <w:spacing w:after="0" w:line="240" w:lineRule="auto"/>
        <w:jc w:val="both"/>
      </w:pPr>
      <w:r>
        <w:t xml:space="preserve"> </w:t>
      </w:r>
    </w:p>
    <w:p w14:paraId="38B6522E" w14:textId="60E96432" w:rsidR="009D6473" w:rsidRDefault="00FD79DC" w:rsidP="00FD79DC">
      <w:pPr>
        <w:spacing w:after="0" w:line="240" w:lineRule="auto"/>
        <w:jc w:val="both"/>
      </w:pPr>
      <w:r>
        <w:t>L</w:t>
      </w:r>
      <w:r w:rsidR="000948BD">
        <w:t xml:space="preserve">e </w:t>
      </w:r>
      <w:r>
        <w:t xml:space="preserve">présent </w:t>
      </w:r>
      <w:r w:rsidR="000948BD">
        <w:t>document est disponible en téléchargement sur le site</w:t>
      </w:r>
      <w:r w:rsidR="00034052">
        <w:t xml:space="preserve"> web</w:t>
      </w:r>
      <w:r w:rsidR="000948BD">
        <w:t xml:space="preserve"> : </w:t>
      </w:r>
      <w:hyperlink r:id="rId10" w:history="1">
        <w:r w:rsidRPr="00556A67">
          <w:rPr>
            <w:rStyle w:val="Lienhypertexte"/>
          </w:rPr>
          <w:t>www.arcep.bf</w:t>
        </w:r>
      </w:hyperlink>
      <w:r w:rsidR="000948BD">
        <w:t>.</w:t>
      </w:r>
    </w:p>
    <w:p w14:paraId="2488DA9C" w14:textId="2620C8BC" w:rsidR="000948BD" w:rsidRDefault="000948BD" w:rsidP="000948BD">
      <w:pPr>
        <w:spacing w:after="0" w:line="240" w:lineRule="auto"/>
      </w:pPr>
    </w:p>
    <w:p w14:paraId="52C1939C" w14:textId="77777777" w:rsidR="00337168" w:rsidRDefault="00337168" w:rsidP="000948BD">
      <w:pPr>
        <w:spacing w:after="0" w:line="240" w:lineRule="auto"/>
      </w:pPr>
    </w:p>
    <w:p w14:paraId="2D26720A" w14:textId="08D4A496" w:rsidR="009D6473" w:rsidRDefault="009D6473" w:rsidP="004B5DDB">
      <w:pPr>
        <w:spacing w:after="0" w:line="240" w:lineRule="auto"/>
      </w:pPr>
      <w:r>
        <w:rPr>
          <w:b/>
          <w:sz w:val="24"/>
          <w:szCs w:val="24"/>
        </w:rPr>
        <w:t>2</w:t>
      </w:r>
      <w:r w:rsidRPr="001E5E39">
        <w:rPr>
          <w:b/>
          <w:sz w:val="24"/>
          <w:szCs w:val="24"/>
        </w:rPr>
        <w:t>.</w:t>
      </w:r>
      <w:r>
        <w:rPr>
          <w:b/>
          <w:sz w:val="24"/>
          <w:szCs w:val="24"/>
        </w:rPr>
        <w:t xml:space="preserve"> </w:t>
      </w:r>
      <w:r w:rsidR="000948BD">
        <w:rPr>
          <w:b/>
          <w:sz w:val="24"/>
          <w:szCs w:val="24"/>
        </w:rPr>
        <w:t xml:space="preserve">Introduction et </w:t>
      </w:r>
      <w:r w:rsidR="00FD79DC">
        <w:rPr>
          <w:b/>
          <w:sz w:val="24"/>
          <w:szCs w:val="24"/>
        </w:rPr>
        <w:t>c</w:t>
      </w:r>
      <w:r w:rsidRPr="001E5E39">
        <w:rPr>
          <w:b/>
          <w:sz w:val="24"/>
          <w:szCs w:val="24"/>
        </w:rPr>
        <w:t>ontexte</w:t>
      </w:r>
    </w:p>
    <w:p w14:paraId="04053431" w14:textId="77777777" w:rsidR="009D6473" w:rsidRDefault="009D6473" w:rsidP="004B5DDB">
      <w:pPr>
        <w:spacing w:after="0" w:line="240" w:lineRule="auto"/>
      </w:pPr>
    </w:p>
    <w:p w14:paraId="6B863E97" w14:textId="7D14CDE0" w:rsidR="001612BF" w:rsidRDefault="001612BF" w:rsidP="001E5E39">
      <w:pPr>
        <w:spacing w:after="0" w:line="240" w:lineRule="auto"/>
        <w:jc w:val="both"/>
      </w:pPr>
      <w:r>
        <w:t>L’ARCEP enregistre depuis un certain nombre d’années, des demandes de fréquences de la part de plusieurs acteurs, pour des services de fourniture d’accès Internet. La congestion de certaines bandes de fréquences avait conduit l’ARCEP à suspendre les attributions d</w:t>
      </w:r>
      <w:r w:rsidR="00E872C5">
        <w:t xml:space="preserve">e fréquences </w:t>
      </w:r>
      <w:r w:rsidR="007D4541">
        <w:t>destinées à</w:t>
      </w:r>
      <w:r w:rsidR="00E872C5">
        <w:t xml:space="preserve"> la fourniture</w:t>
      </w:r>
      <w:r>
        <w:t xml:space="preserve"> desdits services.</w:t>
      </w:r>
    </w:p>
    <w:p w14:paraId="181C2749" w14:textId="77777777" w:rsidR="00E872C5" w:rsidRDefault="00E872C5" w:rsidP="001E5E39">
      <w:pPr>
        <w:spacing w:after="0" w:line="240" w:lineRule="auto"/>
        <w:jc w:val="both"/>
      </w:pPr>
    </w:p>
    <w:p w14:paraId="0B1BDBE3" w14:textId="0407D9AE" w:rsidR="00E872C5" w:rsidRDefault="00E872C5" w:rsidP="001E5E39">
      <w:pPr>
        <w:spacing w:after="0" w:line="240" w:lineRule="auto"/>
        <w:jc w:val="both"/>
      </w:pPr>
      <w:r>
        <w:t>La présente consultation vise à recueillir les avis des différents acteurs sur certains aspects du processus d’attribution des fréquences en vue de la fourniture de services d’accès à Internet. Les différents aspects sont </w:t>
      </w:r>
      <w:r w:rsidR="007D4541">
        <w:t xml:space="preserve">les suivants </w:t>
      </w:r>
      <w:r>
        <w:t>:</w:t>
      </w:r>
    </w:p>
    <w:p w14:paraId="46CF4810" w14:textId="77777777" w:rsidR="00E872C5" w:rsidRDefault="00E872C5" w:rsidP="001E5E39">
      <w:pPr>
        <w:pStyle w:val="Paragraphedeliste"/>
        <w:numPr>
          <w:ilvl w:val="0"/>
          <w:numId w:val="3"/>
        </w:numPr>
        <w:spacing w:after="0" w:line="240" w:lineRule="auto"/>
        <w:jc w:val="both"/>
      </w:pPr>
      <w:r>
        <w:t>les bandes de fréquences à identifier ;</w:t>
      </w:r>
    </w:p>
    <w:p w14:paraId="190C7B49" w14:textId="77777777" w:rsidR="00E872C5" w:rsidRDefault="00E872C5" w:rsidP="001E5E39">
      <w:pPr>
        <w:pStyle w:val="Paragraphedeliste"/>
        <w:numPr>
          <w:ilvl w:val="0"/>
          <w:numId w:val="3"/>
        </w:numPr>
        <w:spacing w:after="0" w:line="240" w:lineRule="auto"/>
        <w:jc w:val="both"/>
      </w:pPr>
      <w:r>
        <w:t>les technologies à utiliser ainsi que le mode de duplexage ;</w:t>
      </w:r>
    </w:p>
    <w:p w14:paraId="0EE26176" w14:textId="77777777" w:rsidR="00E872C5" w:rsidRDefault="00501466" w:rsidP="001E5E39">
      <w:pPr>
        <w:pStyle w:val="Paragraphedeliste"/>
        <w:numPr>
          <w:ilvl w:val="0"/>
          <w:numId w:val="3"/>
        </w:numPr>
        <w:spacing w:after="0" w:line="240" w:lineRule="auto"/>
        <w:jc w:val="both"/>
      </w:pPr>
      <w:r>
        <w:t>la quantité de spectre et la taille des blocs de spectre à mettre à disposition ;</w:t>
      </w:r>
    </w:p>
    <w:p w14:paraId="1DC1995A" w14:textId="77777777" w:rsidR="00501466" w:rsidRDefault="00501466" w:rsidP="001E5E39">
      <w:pPr>
        <w:pStyle w:val="Paragraphedeliste"/>
        <w:numPr>
          <w:ilvl w:val="0"/>
          <w:numId w:val="3"/>
        </w:numPr>
        <w:spacing w:after="0" w:line="240" w:lineRule="auto"/>
        <w:jc w:val="both"/>
      </w:pPr>
      <w:r>
        <w:t>la couverture géographique des licences ;</w:t>
      </w:r>
    </w:p>
    <w:p w14:paraId="2724CEFD" w14:textId="1A064584" w:rsidR="00501466" w:rsidRDefault="00501466" w:rsidP="001E5E39">
      <w:pPr>
        <w:pStyle w:val="Paragraphedeliste"/>
        <w:numPr>
          <w:ilvl w:val="0"/>
          <w:numId w:val="3"/>
        </w:numPr>
        <w:spacing w:after="0" w:line="240" w:lineRule="auto"/>
        <w:jc w:val="both"/>
      </w:pPr>
      <w:r>
        <w:t>l</w:t>
      </w:r>
      <w:r w:rsidR="007D4541">
        <w:t>es modalités d’attribution des fréquences</w:t>
      </w:r>
      <w:r>
        <w:t>.</w:t>
      </w:r>
    </w:p>
    <w:p w14:paraId="4A2589B7" w14:textId="77777777" w:rsidR="001612BF" w:rsidRDefault="001612BF" w:rsidP="004B5DDB">
      <w:pPr>
        <w:spacing w:after="0" w:line="240" w:lineRule="auto"/>
      </w:pPr>
    </w:p>
    <w:p w14:paraId="1D21081A" w14:textId="77777777" w:rsidR="003B05B1" w:rsidRDefault="003B05B1" w:rsidP="004B5DDB">
      <w:pPr>
        <w:spacing w:after="0" w:line="240" w:lineRule="auto"/>
      </w:pPr>
    </w:p>
    <w:p w14:paraId="17408006" w14:textId="1DECD627" w:rsidR="003B05B1" w:rsidRPr="00EF5150" w:rsidRDefault="009D6473" w:rsidP="004B5DDB">
      <w:pPr>
        <w:spacing w:after="0" w:line="240" w:lineRule="auto"/>
        <w:rPr>
          <w:b/>
          <w:sz w:val="24"/>
          <w:szCs w:val="24"/>
        </w:rPr>
      </w:pPr>
      <w:r>
        <w:rPr>
          <w:b/>
          <w:sz w:val="24"/>
          <w:szCs w:val="24"/>
        </w:rPr>
        <w:t>3</w:t>
      </w:r>
      <w:r w:rsidR="003B05B1" w:rsidRPr="00EF5150">
        <w:rPr>
          <w:b/>
          <w:sz w:val="24"/>
          <w:szCs w:val="24"/>
        </w:rPr>
        <w:t>. Contours de la consultation</w:t>
      </w:r>
    </w:p>
    <w:p w14:paraId="207C30F6" w14:textId="1070CEA8" w:rsidR="003B05B1" w:rsidRPr="00EF5150" w:rsidRDefault="009D6473" w:rsidP="004B5DDB">
      <w:pPr>
        <w:spacing w:after="0" w:line="240" w:lineRule="auto"/>
        <w:rPr>
          <w:b/>
        </w:rPr>
      </w:pPr>
      <w:r>
        <w:rPr>
          <w:b/>
        </w:rPr>
        <w:t>3</w:t>
      </w:r>
      <w:r w:rsidR="003B05B1" w:rsidRPr="00EF5150">
        <w:rPr>
          <w:b/>
        </w:rPr>
        <w:t>.1. Bandes de fréquences</w:t>
      </w:r>
    </w:p>
    <w:p w14:paraId="576F0B7B" w14:textId="77777777" w:rsidR="003B05B1" w:rsidRDefault="003B05B1" w:rsidP="004B5DDB">
      <w:pPr>
        <w:spacing w:after="0" w:line="240" w:lineRule="auto"/>
      </w:pPr>
    </w:p>
    <w:p w14:paraId="5A185DC6" w14:textId="77777777" w:rsidR="004B5018" w:rsidRDefault="004B5018" w:rsidP="00EF5150">
      <w:pPr>
        <w:spacing w:after="0" w:line="240" w:lineRule="auto"/>
        <w:jc w:val="both"/>
      </w:pPr>
      <w:r>
        <w:t xml:space="preserve">Dans le cadre du processus d’octroi de licences en </w:t>
      </w:r>
      <w:r w:rsidRPr="004B5018">
        <w:t xml:space="preserve">vue de la fourniture de services d’accès à Internet par boucle locale radio (BLR) au Burkina Faso, </w:t>
      </w:r>
      <w:r>
        <w:t>plusieurs bandes de fréquences peuvent être identifiées pour répondre au besoin.</w:t>
      </w:r>
      <w:r w:rsidR="006D2FBE">
        <w:t xml:space="preserve"> Les bandes de fréquences suivantes sont à considérer :</w:t>
      </w:r>
    </w:p>
    <w:p w14:paraId="73D26AF0" w14:textId="77777777" w:rsidR="006D2FBE" w:rsidRDefault="0016152E" w:rsidP="00EF5150">
      <w:pPr>
        <w:pStyle w:val="Paragraphedeliste"/>
        <w:numPr>
          <w:ilvl w:val="0"/>
          <w:numId w:val="1"/>
        </w:numPr>
        <w:spacing w:after="0" w:line="240" w:lineRule="auto"/>
        <w:jc w:val="both"/>
      </w:pPr>
      <w:r>
        <w:lastRenderedPageBreak/>
        <w:t>1900 – 1920 MHz ;</w:t>
      </w:r>
    </w:p>
    <w:p w14:paraId="6A5D7C9C" w14:textId="77777777" w:rsidR="0016152E" w:rsidRDefault="0016152E" w:rsidP="00EF5150">
      <w:pPr>
        <w:pStyle w:val="Paragraphedeliste"/>
        <w:numPr>
          <w:ilvl w:val="0"/>
          <w:numId w:val="1"/>
        </w:numPr>
        <w:spacing w:after="0" w:line="240" w:lineRule="auto"/>
        <w:jc w:val="both"/>
      </w:pPr>
      <w:r>
        <w:t>2300 – 2400 MHz ;</w:t>
      </w:r>
    </w:p>
    <w:p w14:paraId="1F825D97" w14:textId="77777777" w:rsidR="0016152E" w:rsidRDefault="0016152E" w:rsidP="00EF5150">
      <w:pPr>
        <w:pStyle w:val="Paragraphedeliste"/>
        <w:numPr>
          <w:ilvl w:val="0"/>
          <w:numId w:val="1"/>
        </w:numPr>
        <w:spacing w:after="0" w:line="240" w:lineRule="auto"/>
        <w:jc w:val="both"/>
      </w:pPr>
      <w:r>
        <w:t>2500 – 2690 MHz ;</w:t>
      </w:r>
    </w:p>
    <w:p w14:paraId="674D396D" w14:textId="77777777" w:rsidR="0016152E" w:rsidRDefault="0016152E" w:rsidP="00EF5150">
      <w:pPr>
        <w:pStyle w:val="Paragraphedeliste"/>
        <w:numPr>
          <w:ilvl w:val="0"/>
          <w:numId w:val="1"/>
        </w:numPr>
        <w:spacing w:after="0" w:line="240" w:lineRule="auto"/>
        <w:jc w:val="both"/>
      </w:pPr>
      <w:r>
        <w:t>2570 – 2620 MHz ;</w:t>
      </w:r>
    </w:p>
    <w:p w14:paraId="18A1070E" w14:textId="77777777" w:rsidR="0016152E" w:rsidRDefault="0016152E" w:rsidP="00EF5150">
      <w:pPr>
        <w:pStyle w:val="Paragraphedeliste"/>
        <w:numPr>
          <w:ilvl w:val="0"/>
          <w:numId w:val="1"/>
        </w:numPr>
        <w:spacing w:after="0" w:line="240" w:lineRule="auto"/>
        <w:jc w:val="both"/>
      </w:pPr>
      <w:r>
        <w:t>3300 – 3400 MHz ;</w:t>
      </w:r>
    </w:p>
    <w:p w14:paraId="7498729C" w14:textId="77777777" w:rsidR="0016152E" w:rsidRDefault="0016152E" w:rsidP="00EF5150">
      <w:pPr>
        <w:pStyle w:val="Paragraphedeliste"/>
        <w:numPr>
          <w:ilvl w:val="0"/>
          <w:numId w:val="1"/>
        </w:numPr>
        <w:spacing w:after="0" w:line="240" w:lineRule="auto"/>
        <w:jc w:val="both"/>
      </w:pPr>
      <w:r>
        <w:t>3400 – 3600 MHz.</w:t>
      </w:r>
    </w:p>
    <w:p w14:paraId="1771B24D" w14:textId="77777777" w:rsidR="004B5018" w:rsidRDefault="004B5018" w:rsidP="00EF5150">
      <w:pPr>
        <w:spacing w:after="0" w:line="240" w:lineRule="auto"/>
        <w:jc w:val="both"/>
      </w:pPr>
    </w:p>
    <w:p w14:paraId="7FD1EF89" w14:textId="463B3BF1" w:rsidR="004B5018" w:rsidRDefault="006249D5" w:rsidP="00EF5150">
      <w:pPr>
        <w:spacing w:after="0" w:line="240" w:lineRule="auto"/>
        <w:jc w:val="both"/>
      </w:pPr>
      <w:r>
        <w:t>La disponibilité des équipements terminaux à moindre coût devrait être un facteur important à prendre en considération dans le choix des bandes de fréquences.</w:t>
      </w:r>
    </w:p>
    <w:p w14:paraId="69776989" w14:textId="20C132DD" w:rsidR="005E587E" w:rsidRDefault="005E587E" w:rsidP="00EF5150">
      <w:pPr>
        <w:spacing w:after="0" w:line="240" w:lineRule="auto"/>
        <w:jc w:val="both"/>
      </w:pPr>
    </w:p>
    <w:p w14:paraId="2EC91E87" w14:textId="27791439" w:rsidR="005E587E" w:rsidRDefault="005E587E" w:rsidP="00EF5150">
      <w:pPr>
        <w:spacing w:after="0" w:line="240" w:lineRule="auto"/>
        <w:jc w:val="both"/>
      </w:pPr>
      <w:r>
        <w:t>Par ailleurs certaines bandes de fréquences considérées par certains acteurs comme « libres », sont en cours d’exploitation. Il s’agit généralement des bandes 2,5 GHz et 5 GHz</w:t>
      </w:r>
      <w:r w:rsidR="00813109">
        <w:t xml:space="preserve"> dans lesquelles les acteurs utilisent les fréquences sans garantie de protection contre les interférences</w:t>
      </w:r>
      <w:r>
        <w:t>. Il s’agira d’identifier les modalités à prévoir pour ces types de bande fréquences.</w:t>
      </w:r>
    </w:p>
    <w:p w14:paraId="645D7285" w14:textId="77777777" w:rsidR="005E587E" w:rsidRDefault="005E587E" w:rsidP="00EF5150">
      <w:pPr>
        <w:spacing w:after="0" w:line="240" w:lineRule="auto"/>
        <w:jc w:val="both"/>
      </w:pPr>
    </w:p>
    <w:p w14:paraId="33DF6A7C" w14:textId="77777777" w:rsidR="003B05B1" w:rsidRDefault="004B5018" w:rsidP="00EF5150">
      <w:pPr>
        <w:spacing w:after="0" w:line="240" w:lineRule="auto"/>
        <w:jc w:val="both"/>
      </w:pPr>
      <w:r>
        <w:t>Les contributeurs sont invités à préciser</w:t>
      </w:r>
      <w:r w:rsidR="00E90966">
        <w:t xml:space="preserve">, justifications à l’appui, </w:t>
      </w:r>
      <w:r>
        <w:t>leur intérêt pour les bandes de fréquences</w:t>
      </w:r>
      <w:r w:rsidR="00E90966">
        <w:t xml:space="preserve"> précitées</w:t>
      </w:r>
      <w:r>
        <w:t>.</w:t>
      </w:r>
      <w:r w:rsidR="00E90966">
        <w:t xml:space="preserve"> Les contributeurs peuvent éventuellement justifier leur intérêt pour d’autres bandes de fréquences.</w:t>
      </w:r>
    </w:p>
    <w:p w14:paraId="1D04D983" w14:textId="77777777" w:rsidR="002B4556" w:rsidRDefault="002B4556" w:rsidP="004B5018">
      <w:pPr>
        <w:spacing w:after="0" w:line="240" w:lineRule="auto"/>
      </w:pPr>
    </w:p>
    <w:tbl>
      <w:tblPr>
        <w:tblStyle w:val="Grilledutableau"/>
        <w:tblW w:w="0" w:type="auto"/>
        <w:tblLook w:val="04A0" w:firstRow="1" w:lastRow="0" w:firstColumn="1" w:lastColumn="0" w:noHBand="0" w:noVBand="1"/>
      </w:tblPr>
      <w:tblGrid>
        <w:gridCol w:w="9062"/>
      </w:tblGrid>
      <w:tr w:rsidR="000826BF" w14:paraId="0DAEAE19" w14:textId="77777777" w:rsidTr="000826BF">
        <w:tc>
          <w:tcPr>
            <w:tcW w:w="9062" w:type="dxa"/>
          </w:tcPr>
          <w:p w14:paraId="5E192E7C" w14:textId="77777777" w:rsidR="000826BF" w:rsidRDefault="000826BF" w:rsidP="00274F9B">
            <w:pPr>
              <w:jc w:val="both"/>
            </w:pPr>
            <w:r w:rsidRPr="000826BF">
              <w:rPr>
                <w:b/>
              </w:rPr>
              <w:t>Question 1</w:t>
            </w:r>
            <w:r>
              <w:t> :</w:t>
            </w:r>
          </w:p>
          <w:p w14:paraId="07193839" w14:textId="58C1E19A" w:rsidR="000826BF" w:rsidRDefault="00E975BC" w:rsidP="00274F9B">
            <w:pPr>
              <w:jc w:val="both"/>
            </w:pPr>
            <w:r>
              <w:t xml:space="preserve">Estimez-vous utile de mettre à disposition </w:t>
            </w:r>
            <w:r w:rsidR="00EE1390">
              <w:t>l</w:t>
            </w:r>
            <w:r>
              <w:t>es bandes de fréquences</w:t>
            </w:r>
            <w:r w:rsidR="00D67833">
              <w:t xml:space="preserve"> ci-dessus citées</w:t>
            </w:r>
            <w:r>
              <w:t xml:space="preserve"> pour la</w:t>
            </w:r>
            <w:r w:rsidR="00D67833">
              <w:t xml:space="preserve"> mise en œuvre de réseaux en vue de la</w:t>
            </w:r>
            <w:r>
              <w:t xml:space="preserve"> fourniture d’accès Internet</w:t>
            </w:r>
            <w:r w:rsidR="00D67833">
              <w:t> ?</w:t>
            </w:r>
          </w:p>
          <w:p w14:paraId="6D8E88C5" w14:textId="77777777" w:rsidR="006B41C3" w:rsidRDefault="006B41C3" w:rsidP="00274F9B">
            <w:pPr>
              <w:jc w:val="both"/>
            </w:pPr>
          </w:p>
          <w:p w14:paraId="1021D1E6" w14:textId="77777777" w:rsidR="006B41C3" w:rsidRPr="006B41C3" w:rsidRDefault="006B41C3" w:rsidP="00274F9B">
            <w:pPr>
              <w:jc w:val="both"/>
              <w:rPr>
                <w:b/>
              </w:rPr>
            </w:pPr>
            <w:r w:rsidRPr="006B41C3">
              <w:rPr>
                <w:b/>
              </w:rPr>
              <w:t>Question 2 :</w:t>
            </w:r>
          </w:p>
          <w:p w14:paraId="714B5A8B" w14:textId="77777777" w:rsidR="00D67833" w:rsidRDefault="00D67833" w:rsidP="00274F9B">
            <w:pPr>
              <w:jc w:val="both"/>
            </w:pPr>
            <w:r>
              <w:t>D’autres bandes de fréquences en dehors de celles</w:t>
            </w:r>
            <w:r w:rsidR="00EE1390">
              <w:t xml:space="preserve"> </w:t>
            </w:r>
            <w:r>
              <w:t>ci-dessus citées vous semble</w:t>
            </w:r>
            <w:r w:rsidR="00004BA7">
              <w:t>n</w:t>
            </w:r>
            <w:r>
              <w:t>t-elle</w:t>
            </w:r>
            <w:r w:rsidR="00004BA7">
              <w:t>s</w:t>
            </w:r>
            <w:r>
              <w:t xml:space="preserve"> envisageables ?</w:t>
            </w:r>
            <w:r w:rsidR="00EE1390">
              <w:t xml:space="preserve"> Si oui, veuillez les lister en précisant leur intérêt ou particularité.</w:t>
            </w:r>
          </w:p>
          <w:p w14:paraId="19C5853C" w14:textId="3A2B7B43" w:rsidR="005E587E" w:rsidRDefault="005E587E" w:rsidP="00274F9B">
            <w:pPr>
              <w:jc w:val="both"/>
            </w:pPr>
          </w:p>
          <w:p w14:paraId="31247FB3" w14:textId="7A3347B5" w:rsidR="00813109" w:rsidRDefault="00813109" w:rsidP="00274F9B">
            <w:pPr>
              <w:jc w:val="both"/>
            </w:pPr>
            <w:r w:rsidRPr="00813109">
              <w:rPr>
                <w:b/>
              </w:rPr>
              <w:t>Question 3</w:t>
            </w:r>
            <w:r>
              <w:t> :</w:t>
            </w:r>
          </w:p>
          <w:p w14:paraId="234854F5" w14:textId="3E2EF528" w:rsidR="00813109" w:rsidRDefault="00813109" w:rsidP="00274F9B">
            <w:pPr>
              <w:jc w:val="both"/>
            </w:pPr>
            <w:r>
              <w:t>Les bande</w:t>
            </w:r>
            <w:r w:rsidR="00AC30AA">
              <w:t>s</w:t>
            </w:r>
            <w:r>
              <w:t xml:space="preserve"> de fréquences « libres » sont-elles à considérées dans le cadre du processus d’attribution de fréquences pour la fourniture d’accès Internet fixe ?</w:t>
            </w:r>
          </w:p>
          <w:p w14:paraId="3797A72F" w14:textId="77777777" w:rsidR="00813109" w:rsidRDefault="00813109" w:rsidP="00274F9B">
            <w:pPr>
              <w:jc w:val="both"/>
            </w:pPr>
          </w:p>
          <w:p w14:paraId="6A04688D" w14:textId="47F29258" w:rsidR="005E587E" w:rsidRDefault="005E587E" w:rsidP="00274F9B">
            <w:pPr>
              <w:jc w:val="both"/>
            </w:pPr>
            <w:r w:rsidRPr="005E587E">
              <w:rPr>
                <w:b/>
              </w:rPr>
              <w:t xml:space="preserve">Question </w:t>
            </w:r>
            <w:r w:rsidR="00813109">
              <w:rPr>
                <w:b/>
              </w:rPr>
              <w:t>4</w:t>
            </w:r>
            <w:r>
              <w:t> :</w:t>
            </w:r>
          </w:p>
          <w:p w14:paraId="7C7E206B" w14:textId="5C3676FD" w:rsidR="005E587E" w:rsidRDefault="005E587E" w:rsidP="00AC30AA">
            <w:pPr>
              <w:jc w:val="both"/>
            </w:pPr>
            <w:r>
              <w:t>Les conditions d’utilisation actuelles des bandes dites « libres » sont-elles</w:t>
            </w:r>
            <w:r w:rsidR="00813109">
              <w:t xml:space="preserve"> satisfaisantes</w:t>
            </w:r>
            <w:r>
              <w:t xml:space="preserve"> ? </w:t>
            </w:r>
            <w:r w:rsidR="00AC30AA">
              <w:t>S</w:t>
            </w:r>
            <w:r>
              <w:t>i non, quelles nouvelles conditions permettrai</w:t>
            </w:r>
            <w:r w:rsidR="00AC30AA">
              <w:t>en</w:t>
            </w:r>
            <w:r>
              <w:t>t d’utiliser convenablement ces bandes de fréquences ?</w:t>
            </w:r>
          </w:p>
        </w:tc>
      </w:tr>
    </w:tbl>
    <w:p w14:paraId="0159A710" w14:textId="77777777" w:rsidR="000826BF" w:rsidRDefault="000826BF" w:rsidP="004B5018">
      <w:pPr>
        <w:spacing w:after="0" w:line="240" w:lineRule="auto"/>
      </w:pPr>
    </w:p>
    <w:p w14:paraId="676ACA35" w14:textId="77777777" w:rsidR="000826BF" w:rsidRDefault="000826BF" w:rsidP="004B5018">
      <w:pPr>
        <w:spacing w:after="0" w:line="240" w:lineRule="auto"/>
      </w:pPr>
    </w:p>
    <w:p w14:paraId="06DC3258" w14:textId="0F33BBAB" w:rsidR="002B4556" w:rsidRPr="00EF5150" w:rsidRDefault="009D6473" w:rsidP="004B5018">
      <w:pPr>
        <w:spacing w:after="0" w:line="240" w:lineRule="auto"/>
        <w:rPr>
          <w:b/>
        </w:rPr>
      </w:pPr>
      <w:r>
        <w:rPr>
          <w:b/>
        </w:rPr>
        <w:t>3</w:t>
      </w:r>
      <w:r w:rsidR="002B4556" w:rsidRPr="00EF5150">
        <w:rPr>
          <w:b/>
        </w:rPr>
        <w:t xml:space="preserve">.2. </w:t>
      </w:r>
      <w:r w:rsidR="001F0824" w:rsidRPr="00EF5150">
        <w:rPr>
          <w:b/>
        </w:rPr>
        <w:t>Technologie</w:t>
      </w:r>
      <w:r w:rsidR="001176E8" w:rsidRPr="00EF5150">
        <w:rPr>
          <w:b/>
        </w:rPr>
        <w:t>s</w:t>
      </w:r>
      <w:r w:rsidR="001F0824" w:rsidRPr="00EF5150">
        <w:rPr>
          <w:b/>
        </w:rPr>
        <w:t xml:space="preserve"> et </w:t>
      </w:r>
      <w:r w:rsidR="001176E8" w:rsidRPr="00EF5150">
        <w:rPr>
          <w:b/>
        </w:rPr>
        <w:t xml:space="preserve">modes de </w:t>
      </w:r>
      <w:r w:rsidR="001F0824" w:rsidRPr="00EF5150">
        <w:rPr>
          <w:b/>
        </w:rPr>
        <w:t>d</w:t>
      </w:r>
      <w:r w:rsidR="002B4556" w:rsidRPr="00EF5150">
        <w:rPr>
          <w:b/>
        </w:rPr>
        <w:t>uplexage</w:t>
      </w:r>
    </w:p>
    <w:p w14:paraId="488405CD" w14:textId="77777777" w:rsidR="002B4556" w:rsidRDefault="002B4556" w:rsidP="004B5018">
      <w:pPr>
        <w:spacing w:after="0" w:line="240" w:lineRule="auto"/>
      </w:pPr>
    </w:p>
    <w:p w14:paraId="0BDF6D48" w14:textId="77777777" w:rsidR="004B7E69" w:rsidRDefault="001F0824" w:rsidP="00EF5150">
      <w:pPr>
        <w:spacing w:after="0" w:line="240" w:lineRule="auto"/>
        <w:jc w:val="both"/>
      </w:pPr>
      <w:r>
        <w:t>Pour toute bande de fréquences c</w:t>
      </w:r>
      <w:r w:rsidR="00473801">
        <w:t>onsidérée</w:t>
      </w:r>
      <w:r>
        <w:t xml:space="preserve">, les technologies utilisables pour la fourniture des services sont variées. </w:t>
      </w:r>
      <w:r w:rsidR="004B7E69">
        <w:t>Outre l</w:t>
      </w:r>
      <w:r>
        <w:t xml:space="preserve">es technologies de communications électroniques normalisées de deuxième, troisième et quatrième génération, on peut distinguer des technologies propriétaires permettant d’atteindre des niveaux de qualité de services élevés. </w:t>
      </w:r>
      <w:r w:rsidR="004B7E69">
        <w:t>Selon le principe de la neutralité technologique</w:t>
      </w:r>
      <w:r w:rsidR="00A5607B">
        <w:t xml:space="preserve"> prévue par les textes et mise en </w:t>
      </w:r>
      <w:r w:rsidR="000045DF">
        <w:t>œuvre</w:t>
      </w:r>
      <w:r w:rsidR="004B7E69">
        <w:t xml:space="preserve"> par l’ARC</w:t>
      </w:r>
      <w:r w:rsidR="005C34E1">
        <w:t>E</w:t>
      </w:r>
      <w:r w:rsidR="004B7E69">
        <w:t xml:space="preserve">P, l’opérateur ou le fournisseur de service est libre de choisir la technologie qui sera mise en œuvre pour la fourniture des services. Cependant, il serait utile </w:t>
      </w:r>
      <w:r w:rsidR="00473801">
        <w:t xml:space="preserve">pour l’ARCEP de disposer de l’information </w:t>
      </w:r>
      <w:r w:rsidR="004B7E69">
        <w:t>sur les éventuelles technologies qui seront déployées.</w:t>
      </w:r>
    </w:p>
    <w:p w14:paraId="15701489" w14:textId="77777777" w:rsidR="00450779" w:rsidRDefault="00450779" w:rsidP="00EF5150">
      <w:pPr>
        <w:spacing w:after="0" w:line="240" w:lineRule="auto"/>
        <w:jc w:val="both"/>
      </w:pPr>
    </w:p>
    <w:p w14:paraId="07D09A26" w14:textId="77777777" w:rsidR="00AC2A4B" w:rsidRDefault="00473801" w:rsidP="00EF5150">
      <w:pPr>
        <w:spacing w:after="0" w:line="240" w:lineRule="auto"/>
        <w:jc w:val="both"/>
      </w:pPr>
      <w:r>
        <w:t>Concomitamment à</w:t>
      </w:r>
      <w:r w:rsidR="00A57C07">
        <w:t xml:space="preserve"> la technologie choisie, la méthode de duplexage est également à considérer. On distingue principalement deux </w:t>
      </w:r>
      <w:r w:rsidR="00AC2A4B">
        <w:t>méthodes de duplexage</w:t>
      </w:r>
      <w:r w:rsidR="00A57C07">
        <w:t xml:space="preserve"> à savoir</w:t>
      </w:r>
      <w:r w:rsidR="00AC2A4B">
        <w:t> :</w:t>
      </w:r>
    </w:p>
    <w:p w14:paraId="68B65721" w14:textId="77777777" w:rsidR="00450779" w:rsidRDefault="00A57C07" w:rsidP="00EF5150">
      <w:pPr>
        <w:pStyle w:val="Paragraphedeliste"/>
        <w:numPr>
          <w:ilvl w:val="0"/>
          <w:numId w:val="2"/>
        </w:numPr>
        <w:spacing w:after="0" w:line="240" w:lineRule="auto"/>
        <w:jc w:val="both"/>
      </w:pPr>
      <w:r>
        <w:t>FDD (</w:t>
      </w:r>
      <w:proofErr w:type="spellStart"/>
      <w:r>
        <w:t>Frequency</w:t>
      </w:r>
      <w:proofErr w:type="spellEnd"/>
      <w:r>
        <w:t xml:space="preserve"> D</w:t>
      </w:r>
      <w:r w:rsidRPr="00A57C07">
        <w:t xml:space="preserve">ivision </w:t>
      </w:r>
      <w:proofErr w:type="spellStart"/>
      <w:r>
        <w:t>D</w:t>
      </w:r>
      <w:r w:rsidRPr="00A57C07">
        <w:t>uplexing</w:t>
      </w:r>
      <w:proofErr w:type="spellEnd"/>
      <w:r>
        <w:t>)</w:t>
      </w:r>
      <w:r w:rsidR="00AC2A4B">
        <w:t xml:space="preserve"> : mode de communication dans lequel la liaison montante (terminal vers station </w:t>
      </w:r>
      <w:r w:rsidR="00473801">
        <w:t>de base</w:t>
      </w:r>
      <w:r w:rsidR="00AC2A4B">
        <w:t xml:space="preserve">) et la liaison descendante (station </w:t>
      </w:r>
      <w:r w:rsidR="00473801">
        <w:t>de base</w:t>
      </w:r>
      <w:r w:rsidR="00AC2A4B">
        <w:t xml:space="preserve"> vers terminal) sont mises en œuvre sur des fréquences différentes.</w:t>
      </w:r>
    </w:p>
    <w:p w14:paraId="36397716" w14:textId="77777777" w:rsidR="00AC2A4B" w:rsidRDefault="00AC2A4B" w:rsidP="00EF5150">
      <w:pPr>
        <w:pStyle w:val="Paragraphedeliste"/>
        <w:numPr>
          <w:ilvl w:val="0"/>
          <w:numId w:val="2"/>
        </w:numPr>
        <w:spacing w:after="0" w:line="240" w:lineRule="auto"/>
        <w:jc w:val="both"/>
      </w:pPr>
      <w:r>
        <w:lastRenderedPageBreak/>
        <w:t>TDD (Time D</w:t>
      </w:r>
      <w:r w:rsidRPr="00A57C07">
        <w:t xml:space="preserve">ivision </w:t>
      </w:r>
      <w:proofErr w:type="spellStart"/>
      <w:r>
        <w:t>D</w:t>
      </w:r>
      <w:r w:rsidRPr="00A57C07">
        <w:t>uplexing</w:t>
      </w:r>
      <w:proofErr w:type="spellEnd"/>
      <w:r>
        <w:t>)</w:t>
      </w:r>
      <w:r w:rsidR="005C1780">
        <w:t> : mode de communication dans lequel la liaison montante et la liaison descendante sont mises en œuvre sur les mêmes fréquences</w:t>
      </w:r>
      <w:r w:rsidR="00473801">
        <w:t xml:space="preserve"> mais séparées dans le temps</w:t>
      </w:r>
      <w:r w:rsidR="005C1780">
        <w:t>.</w:t>
      </w:r>
    </w:p>
    <w:p w14:paraId="559A689F" w14:textId="77777777" w:rsidR="00AC2A4B" w:rsidRDefault="00AC2A4B" w:rsidP="00EF5150">
      <w:pPr>
        <w:spacing w:after="0" w:line="240" w:lineRule="auto"/>
        <w:jc w:val="both"/>
      </w:pPr>
    </w:p>
    <w:p w14:paraId="1FAC8F9A" w14:textId="77777777" w:rsidR="00AC2A4B" w:rsidRDefault="00A35F2D" w:rsidP="00EF5150">
      <w:pPr>
        <w:spacing w:after="0" w:line="240" w:lineRule="auto"/>
        <w:jc w:val="both"/>
      </w:pPr>
      <w:r>
        <w:t>Historiquement le mode FDD</w:t>
      </w:r>
      <w:r w:rsidR="00AC2A4B">
        <w:t xml:space="preserve"> était le mode le plus utilisé</w:t>
      </w:r>
      <w:r w:rsidR="00F12C1E">
        <w:t>. Cependant, avec l’évolution des nouvelles technologies, le mode TDD est de plus en plus en implémenté dans les réseaux.</w:t>
      </w:r>
      <w:r w:rsidR="001051E0">
        <w:t xml:space="preserve"> La connaissance du mode de duplexage privilégié est assez importante afin d’envisager la planification des portions de bandes de fréquences à attribuer aux différents </w:t>
      </w:r>
      <w:r w:rsidR="0085200A">
        <w:t>prestataires</w:t>
      </w:r>
      <w:r w:rsidR="001051E0">
        <w:t>.</w:t>
      </w:r>
    </w:p>
    <w:p w14:paraId="3A0DD9BE" w14:textId="77777777" w:rsidR="00643266" w:rsidRDefault="00643266" w:rsidP="00EF5150">
      <w:pPr>
        <w:spacing w:after="0" w:line="240" w:lineRule="auto"/>
        <w:jc w:val="both"/>
      </w:pPr>
    </w:p>
    <w:p w14:paraId="40671CD9" w14:textId="77777777" w:rsidR="00643266" w:rsidRDefault="00643266" w:rsidP="00EF5150">
      <w:pPr>
        <w:spacing w:after="0" w:line="240" w:lineRule="auto"/>
        <w:jc w:val="both"/>
      </w:pPr>
      <w:r>
        <w:t xml:space="preserve">Les contributeurs sont invités à se prononcer sur les technologies qui </w:t>
      </w:r>
      <w:r w:rsidR="00C01FC1">
        <w:t xml:space="preserve">sont susceptibles d’être </w:t>
      </w:r>
      <w:r>
        <w:t>déployées dans le cadre de ce processus ainsi que le mode de duplexage envisagé.</w:t>
      </w:r>
    </w:p>
    <w:p w14:paraId="4ECA8DF8" w14:textId="77777777" w:rsidR="0085200A" w:rsidRDefault="0085200A" w:rsidP="00AC2A4B">
      <w:pPr>
        <w:spacing w:after="0" w:line="240" w:lineRule="auto"/>
      </w:pPr>
    </w:p>
    <w:tbl>
      <w:tblPr>
        <w:tblStyle w:val="Grilledutableau"/>
        <w:tblW w:w="0" w:type="auto"/>
        <w:tblLook w:val="04A0" w:firstRow="1" w:lastRow="0" w:firstColumn="1" w:lastColumn="0" w:noHBand="0" w:noVBand="1"/>
      </w:tblPr>
      <w:tblGrid>
        <w:gridCol w:w="9062"/>
      </w:tblGrid>
      <w:tr w:rsidR="00004BA7" w14:paraId="34A57620" w14:textId="77777777" w:rsidTr="00004BA7">
        <w:tc>
          <w:tcPr>
            <w:tcW w:w="9062" w:type="dxa"/>
          </w:tcPr>
          <w:p w14:paraId="4BB53477" w14:textId="69407E6E" w:rsidR="00004BA7" w:rsidRPr="00004BA7" w:rsidRDefault="00004BA7" w:rsidP="00274F9B">
            <w:pPr>
              <w:jc w:val="both"/>
            </w:pPr>
            <w:r w:rsidRPr="00004BA7">
              <w:rPr>
                <w:b/>
              </w:rPr>
              <w:t xml:space="preserve">Question </w:t>
            </w:r>
            <w:r w:rsidR="00813109">
              <w:rPr>
                <w:b/>
              </w:rPr>
              <w:t>5</w:t>
            </w:r>
            <w:r w:rsidRPr="00004BA7">
              <w:t> :</w:t>
            </w:r>
          </w:p>
          <w:p w14:paraId="01AA9D1D" w14:textId="0FF9A86E" w:rsidR="00004BA7" w:rsidRPr="00004BA7" w:rsidRDefault="00004BA7" w:rsidP="00274F9B">
            <w:pPr>
              <w:jc w:val="both"/>
            </w:pPr>
            <w:r>
              <w:t>Quelles sont selon vous les technologies radio les plus optimales à déployer ?</w:t>
            </w:r>
            <w:r w:rsidR="00C666FE">
              <w:t xml:space="preserve"> Citer les avantages et les inconvénients.</w:t>
            </w:r>
          </w:p>
          <w:p w14:paraId="095A19E3" w14:textId="77777777" w:rsidR="00004BA7" w:rsidRPr="00004BA7" w:rsidRDefault="00004BA7" w:rsidP="00274F9B">
            <w:pPr>
              <w:jc w:val="both"/>
            </w:pPr>
          </w:p>
          <w:p w14:paraId="609FBD5B" w14:textId="25EE8625" w:rsidR="00004BA7" w:rsidRPr="00004BA7" w:rsidRDefault="00004BA7" w:rsidP="00274F9B">
            <w:pPr>
              <w:jc w:val="both"/>
              <w:rPr>
                <w:b/>
              </w:rPr>
            </w:pPr>
            <w:r w:rsidRPr="00004BA7">
              <w:rPr>
                <w:b/>
              </w:rPr>
              <w:t xml:space="preserve">Question </w:t>
            </w:r>
            <w:r w:rsidR="00813109">
              <w:rPr>
                <w:b/>
              </w:rPr>
              <w:t>6</w:t>
            </w:r>
            <w:r w:rsidRPr="00004BA7">
              <w:rPr>
                <w:b/>
              </w:rPr>
              <w:t> :</w:t>
            </w:r>
          </w:p>
          <w:p w14:paraId="6B303D1D" w14:textId="30815B85" w:rsidR="00004BA7" w:rsidRPr="00004BA7" w:rsidRDefault="00004BA7" w:rsidP="00274F9B">
            <w:pPr>
              <w:jc w:val="both"/>
            </w:pPr>
            <w:r>
              <w:t>Quel est le mode de duplexage à privilégier en fonction des bandes de fréquences ?</w:t>
            </w:r>
            <w:r w:rsidR="00C666FE">
              <w:t xml:space="preserve"> citer les avantages et les inconvénients.</w:t>
            </w:r>
          </w:p>
        </w:tc>
      </w:tr>
    </w:tbl>
    <w:p w14:paraId="4AB17561" w14:textId="77777777" w:rsidR="00004BA7" w:rsidRDefault="00004BA7" w:rsidP="00AC2A4B">
      <w:pPr>
        <w:spacing w:after="0" w:line="240" w:lineRule="auto"/>
      </w:pPr>
    </w:p>
    <w:p w14:paraId="14F0D638" w14:textId="77777777" w:rsidR="00004BA7" w:rsidRDefault="00004BA7" w:rsidP="00AC2A4B">
      <w:pPr>
        <w:spacing w:after="0" w:line="240" w:lineRule="auto"/>
      </w:pPr>
    </w:p>
    <w:p w14:paraId="7656DCDC" w14:textId="20A3134D" w:rsidR="0085200A" w:rsidRPr="00EF5150" w:rsidRDefault="009D6473" w:rsidP="00AC2A4B">
      <w:pPr>
        <w:spacing w:after="0" w:line="240" w:lineRule="auto"/>
        <w:rPr>
          <w:b/>
        </w:rPr>
      </w:pPr>
      <w:r>
        <w:rPr>
          <w:b/>
        </w:rPr>
        <w:t>3</w:t>
      </w:r>
      <w:r w:rsidR="0085200A" w:rsidRPr="00EF5150">
        <w:rPr>
          <w:b/>
        </w:rPr>
        <w:t>.3. Quantité de spectre / taille des blocs</w:t>
      </w:r>
    </w:p>
    <w:p w14:paraId="7D63DECD" w14:textId="77777777" w:rsidR="00E01ECC" w:rsidRDefault="00E01ECC" w:rsidP="00AC2A4B">
      <w:pPr>
        <w:spacing w:after="0" w:line="240" w:lineRule="auto"/>
      </w:pPr>
    </w:p>
    <w:p w14:paraId="7B675A7A" w14:textId="77777777" w:rsidR="00150FBB" w:rsidRDefault="00DA0CB7" w:rsidP="00EF5150">
      <w:pPr>
        <w:spacing w:after="0" w:line="240" w:lineRule="auto"/>
        <w:jc w:val="both"/>
      </w:pPr>
      <w:r>
        <w:t>Pour chaque bande de fréquences considérée</w:t>
      </w:r>
      <w:r w:rsidR="000236F3">
        <w:t xml:space="preserve">, la taille des blocs attribuables devrait être planifiée en </w:t>
      </w:r>
      <w:r>
        <w:t>fonction</w:t>
      </w:r>
      <w:r w:rsidR="000236F3">
        <w:t xml:space="preserve"> des objecti</w:t>
      </w:r>
      <w:r w:rsidR="00A23FBF">
        <w:t xml:space="preserve">fs de qualité de service souhaités </w:t>
      </w:r>
      <w:r w:rsidR="000236F3">
        <w:t xml:space="preserve">notamment en terme de débit </w:t>
      </w:r>
      <w:r>
        <w:t>binaire</w:t>
      </w:r>
      <w:r w:rsidR="000236F3">
        <w:t xml:space="preserve"> </w:t>
      </w:r>
      <w:r w:rsidR="00320E72">
        <w:t xml:space="preserve">à mettre à </w:t>
      </w:r>
      <w:r w:rsidR="000236F3">
        <w:t>dispo</w:t>
      </w:r>
      <w:r w:rsidR="00320E72">
        <w:t>sition du</w:t>
      </w:r>
      <w:r w:rsidR="000236F3">
        <w:t xml:space="preserve"> client.</w:t>
      </w:r>
    </w:p>
    <w:p w14:paraId="4706EBD6" w14:textId="77777777" w:rsidR="00150FBB" w:rsidRDefault="00150FBB" w:rsidP="00EF5150">
      <w:pPr>
        <w:spacing w:after="0" w:line="240" w:lineRule="auto"/>
        <w:jc w:val="both"/>
      </w:pPr>
    </w:p>
    <w:p w14:paraId="6F9251C6" w14:textId="4BD84337" w:rsidR="00150FBB" w:rsidRDefault="00AC30AA" w:rsidP="00EF5150">
      <w:pPr>
        <w:spacing w:after="0" w:line="240" w:lineRule="auto"/>
        <w:jc w:val="both"/>
      </w:pPr>
      <w:r>
        <w:t>Par ailleurs, l</w:t>
      </w:r>
      <w:r w:rsidR="0079051E">
        <w:t>orsque des blocs de fréquences da</w:t>
      </w:r>
      <w:r w:rsidR="00A23FBF">
        <w:t>ns une même bande sont attribué</w:t>
      </w:r>
      <w:r w:rsidR="0079051E">
        <w:t>s à des acteurs différents, la question du fonctionnement des réseaux sans</w:t>
      </w:r>
      <w:r w:rsidR="001E268B">
        <w:t xml:space="preserve"> brouillages pourrait se poser. En effet, lorsque la bande est partagée entre plusieurs acteurs qui parfois utilisent des technologies différentes, les canaux adjacents peuvent parfois subir des perturbations mutuelles. I</w:t>
      </w:r>
      <w:r w:rsidR="001B4793">
        <w:t>l conv</w:t>
      </w:r>
      <w:r w:rsidR="00A23FBF">
        <w:t xml:space="preserve">iendrait </w:t>
      </w:r>
      <w:r w:rsidR="001B4793">
        <w:t>de trouver le meilleur dispositif à mettre en place pour garantir un fonctionnement sans brouillage mutuel des réseaux. Les d</w:t>
      </w:r>
      <w:r w:rsidR="001E268B">
        <w:t>ifférents dispositifs habituellement</w:t>
      </w:r>
      <w:r w:rsidR="001B4793">
        <w:t xml:space="preserve"> utilisés sont la bande de garde et la limitation de puissance des canaux adjacents.</w:t>
      </w:r>
      <w:r w:rsidR="00494947">
        <w:t xml:space="preserve"> Une autre méthode consisterait à attribuer les blocs de fréquences de manière adjacente sans aucune séparation ni limitation de puissance. La charge sera alors aux exploitants des réseaux de mettre en œuvre (en interne à leur réseau) des techniques d’évitement des brouillages.</w:t>
      </w:r>
    </w:p>
    <w:p w14:paraId="5B57FB62" w14:textId="77777777" w:rsidR="001B4793" w:rsidRDefault="001B4793" w:rsidP="00EF5150">
      <w:pPr>
        <w:spacing w:after="0" w:line="240" w:lineRule="auto"/>
        <w:jc w:val="both"/>
      </w:pPr>
      <w:r>
        <w:t xml:space="preserve">Il </w:t>
      </w:r>
      <w:r w:rsidR="001E268B">
        <w:t xml:space="preserve">faut souligner que </w:t>
      </w:r>
      <w:r w:rsidR="00CB4959">
        <w:t>la</w:t>
      </w:r>
      <w:r>
        <w:t xml:space="preserve"> probl</w:t>
      </w:r>
      <w:r w:rsidR="001E268B">
        <w:t xml:space="preserve">ématique </w:t>
      </w:r>
      <w:r w:rsidR="00CB4959">
        <w:t xml:space="preserve">du brouillage sur les canaux adjacents </w:t>
      </w:r>
      <w:r w:rsidR="001E268B">
        <w:t xml:space="preserve">pourrait être ressentie </w:t>
      </w:r>
      <w:r>
        <w:t>de manière plus criarde</w:t>
      </w:r>
      <w:r w:rsidR="00CB4959">
        <w:t xml:space="preserve"> dans</w:t>
      </w:r>
      <w:r>
        <w:t xml:space="preserve"> les réseaux fonctionnant en TDD.</w:t>
      </w:r>
      <w:r w:rsidR="001C1D55">
        <w:t xml:space="preserve"> Par ailleurs la mise en œuvre de bandes garde plus ou moins larges réduirait la quantité de spectre utile.</w:t>
      </w:r>
    </w:p>
    <w:p w14:paraId="5953D284" w14:textId="77777777" w:rsidR="00150FBB" w:rsidRDefault="00150FBB" w:rsidP="00EF5150">
      <w:pPr>
        <w:spacing w:after="0" w:line="240" w:lineRule="auto"/>
        <w:jc w:val="both"/>
      </w:pPr>
    </w:p>
    <w:p w14:paraId="7FBFEBB7" w14:textId="6BE888EB" w:rsidR="000236F3" w:rsidRDefault="00AC30AA" w:rsidP="00EF5150">
      <w:pPr>
        <w:spacing w:after="0" w:line="240" w:lineRule="auto"/>
        <w:jc w:val="both"/>
      </w:pPr>
      <w:r>
        <w:t>Concernant les deux volets ci-dessus, l</w:t>
      </w:r>
      <w:r w:rsidR="00AD7100">
        <w:t xml:space="preserve">es contributeurs sont invités à proposer </w:t>
      </w:r>
      <w:r w:rsidR="001E268B">
        <w:t>une estimation de</w:t>
      </w:r>
      <w:r w:rsidR="0023046F">
        <w:t xml:space="preserve"> la largeur du bloc unitaire attribuable en fonction d’un objectif de débit binaire visé pour un certain nombre de clients connectés. Les contributeurs seront également invités à proposer avec justification</w:t>
      </w:r>
      <w:r>
        <w:t>,</w:t>
      </w:r>
      <w:r w:rsidR="0023046F">
        <w:t xml:space="preserve"> le meilleur mécanisme à mettre en œuvre pour éviter les brouillages sur les canaux adjacents.</w:t>
      </w:r>
    </w:p>
    <w:p w14:paraId="00C2BC8D" w14:textId="77777777" w:rsidR="000236F3" w:rsidRDefault="000236F3" w:rsidP="00AC2A4B">
      <w:pPr>
        <w:spacing w:after="0" w:line="240" w:lineRule="auto"/>
      </w:pPr>
    </w:p>
    <w:tbl>
      <w:tblPr>
        <w:tblStyle w:val="Grilledutableau"/>
        <w:tblW w:w="0" w:type="auto"/>
        <w:tblLook w:val="04A0" w:firstRow="1" w:lastRow="0" w:firstColumn="1" w:lastColumn="0" w:noHBand="0" w:noVBand="1"/>
      </w:tblPr>
      <w:tblGrid>
        <w:gridCol w:w="9062"/>
      </w:tblGrid>
      <w:tr w:rsidR="00004BA7" w14:paraId="652A89E1" w14:textId="77777777" w:rsidTr="00004BA7">
        <w:tc>
          <w:tcPr>
            <w:tcW w:w="9062" w:type="dxa"/>
          </w:tcPr>
          <w:p w14:paraId="49C82472" w14:textId="6F8C3807" w:rsidR="00004BA7" w:rsidRDefault="00004BA7" w:rsidP="00274F9B">
            <w:pPr>
              <w:jc w:val="both"/>
            </w:pPr>
            <w:r w:rsidRPr="000826BF">
              <w:rPr>
                <w:b/>
              </w:rPr>
              <w:t xml:space="preserve">Question </w:t>
            </w:r>
            <w:r w:rsidR="00813109">
              <w:rPr>
                <w:b/>
              </w:rPr>
              <w:t>7</w:t>
            </w:r>
            <w:r>
              <w:t> :</w:t>
            </w:r>
          </w:p>
          <w:p w14:paraId="1E2AFE3D" w14:textId="30FF15A4" w:rsidR="00004BA7" w:rsidRDefault="00C53401" w:rsidP="00274F9B">
            <w:pPr>
              <w:jc w:val="both"/>
            </w:pPr>
            <w:r>
              <w:t>Pour chaque bande de fréquence</w:t>
            </w:r>
            <w:r w:rsidR="00896765">
              <w:t>s</w:t>
            </w:r>
            <w:r>
              <w:t>, quelle est selon vous la taille</w:t>
            </w:r>
            <w:r w:rsidR="00EE1390">
              <w:t xml:space="preserve"> minimale</w:t>
            </w:r>
            <w:r>
              <w:t xml:space="preserve"> du bloc à attribuer aux exploitants de réseaux ?</w:t>
            </w:r>
            <w:r w:rsidR="00896765">
              <w:t xml:space="preserve"> Quel débit binaire par utilisateur pourrait être atteint avec cette quantité de spectre ?</w:t>
            </w:r>
          </w:p>
          <w:p w14:paraId="6CE78EEF" w14:textId="35467556" w:rsidR="00493812" w:rsidRDefault="00493812" w:rsidP="00274F9B">
            <w:pPr>
              <w:jc w:val="both"/>
            </w:pPr>
          </w:p>
          <w:p w14:paraId="0A6352CD" w14:textId="456FB6AD" w:rsidR="00004BA7" w:rsidRPr="006B41C3" w:rsidRDefault="00004BA7" w:rsidP="00274F9B">
            <w:pPr>
              <w:jc w:val="both"/>
              <w:rPr>
                <w:b/>
              </w:rPr>
            </w:pPr>
            <w:r w:rsidRPr="006B41C3">
              <w:rPr>
                <w:b/>
              </w:rPr>
              <w:lastRenderedPageBreak/>
              <w:t xml:space="preserve">Question </w:t>
            </w:r>
            <w:r w:rsidR="00813109">
              <w:rPr>
                <w:b/>
              </w:rPr>
              <w:t>8</w:t>
            </w:r>
            <w:r w:rsidRPr="006B41C3">
              <w:rPr>
                <w:b/>
              </w:rPr>
              <w:t> :</w:t>
            </w:r>
          </w:p>
          <w:p w14:paraId="1F6C2C36" w14:textId="77777777" w:rsidR="00004BA7" w:rsidRDefault="00A9586F" w:rsidP="00274F9B">
            <w:pPr>
              <w:jc w:val="both"/>
            </w:pPr>
            <w:r>
              <w:t>Q</w:t>
            </w:r>
            <w:r w:rsidR="00644CBC">
              <w:t xml:space="preserve">uelles </w:t>
            </w:r>
            <w:r>
              <w:t xml:space="preserve">mesures </w:t>
            </w:r>
            <w:r w:rsidR="00644CBC">
              <w:t>proposez-vous pour l’évitement des brouillages sur les canaux adjacents entre deux exploitants ? Ces mesures sont-elles valables pour toutes les bandes de fréquences et toutes les technologies ?</w:t>
            </w:r>
          </w:p>
          <w:p w14:paraId="13E8CDC4" w14:textId="77777777" w:rsidR="00644CBC" w:rsidRDefault="00644CBC" w:rsidP="00274F9B">
            <w:pPr>
              <w:jc w:val="both"/>
            </w:pPr>
            <w:r>
              <w:t>Dans le cas de l’utilisation des bandes de garde, quelle est la taille optimale de la bande de garde à mettre en œuvre.</w:t>
            </w:r>
          </w:p>
        </w:tc>
      </w:tr>
    </w:tbl>
    <w:p w14:paraId="2BF866FD" w14:textId="77777777" w:rsidR="00004BA7" w:rsidRDefault="00004BA7" w:rsidP="00AC2A4B">
      <w:pPr>
        <w:spacing w:after="0" w:line="240" w:lineRule="auto"/>
      </w:pPr>
    </w:p>
    <w:p w14:paraId="7393C11D" w14:textId="77777777" w:rsidR="00004BA7" w:rsidRDefault="00004BA7" w:rsidP="00AC2A4B">
      <w:pPr>
        <w:spacing w:after="0" w:line="240" w:lineRule="auto"/>
      </w:pPr>
    </w:p>
    <w:p w14:paraId="06646123" w14:textId="0552B9F0" w:rsidR="00E544FF" w:rsidRPr="00EF5150" w:rsidRDefault="009D6473" w:rsidP="00AC2A4B">
      <w:pPr>
        <w:spacing w:after="0" w:line="240" w:lineRule="auto"/>
        <w:rPr>
          <w:b/>
        </w:rPr>
      </w:pPr>
      <w:r>
        <w:rPr>
          <w:b/>
        </w:rPr>
        <w:t>3</w:t>
      </w:r>
      <w:r w:rsidR="00E01ECC" w:rsidRPr="00EF5150">
        <w:rPr>
          <w:b/>
        </w:rPr>
        <w:t xml:space="preserve">.4. </w:t>
      </w:r>
      <w:r w:rsidR="00E544FF" w:rsidRPr="00EF5150">
        <w:rPr>
          <w:b/>
        </w:rPr>
        <w:t xml:space="preserve">Empreinte géographique </w:t>
      </w:r>
      <w:r w:rsidR="00B7676F" w:rsidRPr="00EF5150">
        <w:rPr>
          <w:b/>
        </w:rPr>
        <w:t>des licences</w:t>
      </w:r>
    </w:p>
    <w:p w14:paraId="53EF28E5" w14:textId="77777777" w:rsidR="00B7676F" w:rsidRDefault="00B7676F" w:rsidP="00AC2A4B">
      <w:pPr>
        <w:spacing w:after="0" w:line="240" w:lineRule="auto"/>
      </w:pPr>
    </w:p>
    <w:p w14:paraId="1900C757" w14:textId="77777777" w:rsidR="00E544FF" w:rsidRDefault="00CD674C" w:rsidP="00EF5150">
      <w:pPr>
        <w:spacing w:after="0" w:line="240" w:lineRule="auto"/>
        <w:jc w:val="both"/>
      </w:pPr>
      <w:r>
        <w:t>Dans un contexte</w:t>
      </w:r>
      <w:r w:rsidR="0011654E">
        <w:t xml:space="preserve"> d’attribution de licences, </w:t>
      </w:r>
      <w:r w:rsidR="00223C89">
        <w:t xml:space="preserve">la couverture territoriale </w:t>
      </w:r>
      <w:r w:rsidR="00781D5B">
        <w:t>des réseaux</w:t>
      </w:r>
      <w:r w:rsidR="00223C89">
        <w:t xml:space="preserve"> est un élément important de la licence. </w:t>
      </w:r>
      <w:r w:rsidR="00781D5B">
        <w:t>S’agissant de licences visant à développer la fourniture d’Internet haut débit fixe, la question de</w:t>
      </w:r>
      <w:r w:rsidR="00DE5D2D">
        <w:t>s zones à couvrir</w:t>
      </w:r>
      <w:r w:rsidR="00781D5B">
        <w:t xml:space="preserve"> peut se poser. Plusieurs options peuvent être prises en considération :</w:t>
      </w:r>
    </w:p>
    <w:p w14:paraId="4DEC0888" w14:textId="77777777" w:rsidR="00781D5B" w:rsidRDefault="00781D5B" w:rsidP="00EF5150">
      <w:pPr>
        <w:pStyle w:val="Paragraphedeliste"/>
        <w:numPr>
          <w:ilvl w:val="0"/>
          <w:numId w:val="2"/>
        </w:numPr>
        <w:spacing w:after="0" w:line="240" w:lineRule="auto"/>
        <w:jc w:val="both"/>
      </w:pPr>
      <w:r>
        <w:t>attribuer des licences à vocation nationale :</w:t>
      </w:r>
      <w:r w:rsidR="00DE5D2D">
        <w:t xml:space="preserve"> dans ce cas, la zone à couvrir concerne l’ensemble du territoire et le titulaire de la licence aura à charge d’étendre son réseau sur tout le territoire</w:t>
      </w:r>
      <w:r w:rsidR="00A5607B">
        <w:t>;</w:t>
      </w:r>
    </w:p>
    <w:p w14:paraId="73101E86" w14:textId="77777777" w:rsidR="00781D5B" w:rsidRDefault="00781D5B" w:rsidP="00EF5150">
      <w:pPr>
        <w:pStyle w:val="Paragraphedeliste"/>
        <w:numPr>
          <w:ilvl w:val="0"/>
          <w:numId w:val="2"/>
        </w:numPr>
        <w:spacing w:after="0" w:line="240" w:lineRule="auto"/>
        <w:jc w:val="both"/>
      </w:pPr>
      <w:r>
        <w:t>attribuer des licences à vocation régionale :</w:t>
      </w:r>
      <w:r w:rsidR="00DE5D2D">
        <w:t xml:space="preserve"> dans ce cas, la zone à couvrir concerne une </w:t>
      </w:r>
      <w:r w:rsidR="00A5607B">
        <w:t xml:space="preserve">ou plusieurs </w:t>
      </w:r>
      <w:r w:rsidR="00DE5D2D">
        <w:t>région</w:t>
      </w:r>
      <w:r w:rsidR="00A5607B">
        <w:t>s</w:t>
      </w:r>
      <w:r w:rsidR="00DE5D2D">
        <w:t xml:space="preserve"> donnée</w:t>
      </w:r>
      <w:r w:rsidR="00A5607B">
        <w:t>s</w:t>
      </w:r>
      <w:r w:rsidR="00DE5D2D">
        <w:t xml:space="preserve"> qui devr</w:t>
      </w:r>
      <w:r w:rsidR="00C72571">
        <w:t>ont</w:t>
      </w:r>
      <w:r w:rsidR="00DE5D2D">
        <w:t xml:space="preserve"> être couverte</w:t>
      </w:r>
      <w:r w:rsidR="00C72571">
        <w:t>s</w:t>
      </w:r>
      <w:r w:rsidR="00DE5D2D">
        <w:t xml:space="preserve"> par le titulaire de la licence</w:t>
      </w:r>
      <w:r w:rsidR="00A5607B">
        <w:t> ;</w:t>
      </w:r>
    </w:p>
    <w:p w14:paraId="4C6FE1B5" w14:textId="77777777" w:rsidR="00781D5B" w:rsidRDefault="00781D5B" w:rsidP="00EF5150">
      <w:pPr>
        <w:pStyle w:val="Paragraphedeliste"/>
        <w:numPr>
          <w:ilvl w:val="0"/>
          <w:numId w:val="2"/>
        </w:numPr>
        <w:spacing w:after="0" w:line="240" w:lineRule="auto"/>
        <w:jc w:val="both"/>
      </w:pPr>
      <w:r>
        <w:t>attribuer des licences à vocation urbaine :</w:t>
      </w:r>
      <w:r w:rsidR="00DE5D2D">
        <w:t xml:space="preserve"> dans ce cas, la zone à couvrir concerne une </w:t>
      </w:r>
      <w:r w:rsidR="00C72571">
        <w:t xml:space="preserve">ou plusieurs </w:t>
      </w:r>
      <w:r w:rsidR="00DE5D2D">
        <w:t>commune</w:t>
      </w:r>
      <w:r w:rsidR="00C72571">
        <w:t>s</w:t>
      </w:r>
      <w:r w:rsidR="00DE5D2D">
        <w:t xml:space="preserve"> (généralement urbai</w:t>
      </w:r>
      <w:bookmarkStart w:id="0" w:name="_GoBack"/>
      <w:bookmarkEnd w:id="0"/>
      <w:r w:rsidR="00DE5D2D">
        <w:t>ne) que le titulaire de la licence aura à charge de couvrir.</w:t>
      </w:r>
    </w:p>
    <w:p w14:paraId="7B32AD4C" w14:textId="77777777" w:rsidR="00A95CAA" w:rsidRDefault="00A95CAA" w:rsidP="00EF5150">
      <w:pPr>
        <w:spacing w:after="0" w:line="240" w:lineRule="auto"/>
        <w:jc w:val="both"/>
      </w:pPr>
    </w:p>
    <w:p w14:paraId="622F46ED" w14:textId="77777777" w:rsidR="008B7A18" w:rsidRDefault="008B7A18" w:rsidP="00EF5150">
      <w:pPr>
        <w:spacing w:after="0" w:line="240" w:lineRule="auto"/>
        <w:jc w:val="both"/>
      </w:pPr>
      <w:r>
        <w:t>Il faut préciser que les obligations de couvertures ainsi que les obligations de qualité de services seront intimement liées à l’empreinte géographique de la licence.</w:t>
      </w:r>
    </w:p>
    <w:p w14:paraId="4AC0D7ED" w14:textId="77777777" w:rsidR="008B7A18" w:rsidRDefault="008B7A18" w:rsidP="00EF5150">
      <w:pPr>
        <w:spacing w:after="0" w:line="240" w:lineRule="auto"/>
        <w:jc w:val="both"/>
      </w:pPr>
    </w:p>
    <w:p w14:paraId="6328732A" w14:textId="77777777" w:rsidR="00A95CAA" w:rsidRDefault="00A95CAA" w:rsidP="00EF5150">
      <w:pPr>
        <w:spacing w:after="0" w:line="240" w:lineRule="auto"/>
        <w:jc w:val="both"/>
      </w:pPr>
      <w:r>
        <w:t>Les contributeurs sont invités à se prononcer, argumentai</w:t>
      </w:r>
      <w:r w:rsidR="00A03C34">
        <w:t>re à l’appui, sur l’opportunité</w:t>
      </w:r>
      <w:r w:rsidR="00C72571">
        <w:t xml:space="preserve"> </w:t>
      </w:r>
      <w:r>
        <w:t xml:space="preserve">de </w:t>
      </w:r>
      <w:r w:rsidR="00337113">
        <w:t xml:space="preserve">chaque </w:t>
      </w:r>
      <w:r>
        <w:t>type</w:t>
      </w:r>
      <w:r w:rsidR="00337113">
        <w:t xml:space="preserve"> de licence</w:t>
      </w:r>
      <w:r w:rsidR="00CD674C">
        <w:t xml:space="preserve"> </w:t>
      </w:r>
      <w:r w:rsidR="00C72571">
        <w:t>ou d’</w:t>
      </w:r>
      <w:r w:rsidR="00A03C34">
        <w:t>une</w:t>
      </w:r>
      <w:r w:rsidR="00CD674C">
        <w:t xml:space="preserve"> combinaison de ces types</w:t>
      </w:r>
      <w:r>
        <w:t>.</w:t>
      </w:r>
    </w:p>
    <w:p w14:paraId="21D70AD2" w14:textId="77777777" w:rsidR="00315374" w:rsidRDefault="00315374" w:rsidP="00A95CAA">
      <w:pPr>
        <w:spacing w:after="0" w:line="240" w:lineRule="auto"/>
      </w:pPr>
    </w:p>
    <w:tbl>
      <w:tblPr>
        <w:tblStyle w:val="Grilledutableau"/>
        <w:tblW w:w="0" w:type="auto"/>
        <w:tblLook w:val="04A0" w:firstRow="1" w:lastRow="0" w:firstColumn="1" w:lastColumn="0" w:noHBand="0" w:noVBand="1"/>
      </w:tblPr>
      <w:tblGrid>
        <w:gridCol w:w="9062"/>
      </w:tblGrid>
      <w:tr w:rsidR="00AE0A83" w14:paraId="4DE005E2" w14:textId="77777777" w:rsidTr="00AE0A83">
        <w:tc>
          <w:tcPr>
            <w:tcW w:w="9062" w:type="dxa"/>
          </w:tcPr>
          <w:p w14:paraId="51C6D7BB" w14:textId="6874D604" w:rsidR="00AE0A83" w:rsidRDefault="00AE0A83" w:rsidP="00274F9B">
            <w:pPr>
              <w:jc w:val="both"/>
            </w:pPr>
            <w:r w:rsidRPr="000826BF">
              <w:rPr>
                <w:b/>
              </w:rPr>
              <w:t xml:space="preserve">Question </w:t>
            </w:r>
            <w:r w:rsidR="00813109">
              <w:rPr>
                <w:b/>
              </w:rPr>
              <w:t>9</w:t>
            </w:r>
            <w:r>
              <w:t> :</w:t>
            </w:r>
          </w:p>
          <w:p w14:paraId="544EF8AC" w14:textId="77777777" w:rsidR="00AE0A83" w:rsidRDefault="00493812" w:rsidP="00274F9B">
            <w:pPr>
              <w:jc w:val="both"/>
            </w:pPr>
            <w:r>
              <w:t>En fonction des différentes bandes de fréquences proposées, quelle devrait être selon vous, l’empreinte géographique des licences à accorder ?</w:t>
            </w:r>
          </w:p>
          <w:p w14:paraId="74A6D338" w14:textId="77777777" w:rsidR="00AE0A83" w:rsidRDefault="00AE0A83" w:rsidP="00274F9B">
            <w:pPr>
              <w:jc w:val="both"/>
            </w:pPr>
          </w:p>
          <w:p w14:paraId="3F020B66" w14:textId="17E75C6A" w:rsidR="00AE0A83" w:rsidRPr="006B41C3" w:rsidRDefault="00AE0A83" w:rsidP="00274F9B">
            <w:pPr>
              <w:jc w:val="both"/>
              <w:rPr>
                <w:b/>
              </w:rPr>
            </w:pPr>
            <w:r w:rsidRPr="006B41C3">
              <w:rPr>
                <w:b/>
              </w:rPr>
              <w:t xml:space="preserve">Question </w:t>
            </w:r>
            <w:r w:rsidR="00813109">
              <w:rPr>
                <w:b/>
              </w:rPr>
              <w:t>10</w:t>
            </w:r>
            <w:r w:rsidRPr="006B41C3">
              <w:rPr>
                <w:b/>
              </w:rPr>
              <w:t> :</w:t>
            </w:r>
          </w:p>
          <w:p w14:paraId="4C7C0BDD" w14:textId="3E3BB7A3" w:rsidR="00AE0A83" w:rsidRDefault="00B30A9D" w:rsidP="00274F9B">
            <w:pPr>
              <w:jc w:val="both"/>
            </w:pPr>
            <w:r>
              <w:t>Un même exploitant peut-il être attributaire de licences dans plusieurs zones différentes ?</w:t>
            </w:r>
          </w:p>
        </w:tc>
      </w:tr>
    </w:tbl>
    <w:p w14:paraId="264E9ED2" w14:textId="77777777" w:rsidR="00AE0A83" w:rsidRDefault="00AE0A83" w:rsidP="00A95CAA">
      <w:pPr>
        <w:spacing w:after="0" w:line="240" w:lineRule="auto"/>
      </w:pPr>
    </w:p>
    <w:p w14:paraId="312FB176" w14:textId="77777777" w:rsidR="00AE0A83" w:rsidRDefault="00AE0A83" w:rsidP="00A95CAA">
      <w:pPr>
        <w:spacing w:after="0" w:line="240" w:lineRule="auto"/>
      </w:pPr>
    </w:p>
    <w:p w14:paraId="0DB7C72C" w14:textId="273B997C" w:rsidR="00315374" w:rsidRPr="00EF5150" w:rsidRDefault="009D6473" w:rsidP="00A95CAA">
      <w:pPr>
        <w:spacing w:after="0" w:line="240" w:lineRule="auto"/>
        <w:rPr>
          <w:b/>
        </w:rPr>
      </w:pPr>
      <w:r>
        <w:rPr>
          <w:b/>
        </w:rPr>
        <w:t>3</w:t>
      </w:r>
      <w:r w:rsidR="00315374" w:rsidRPr="00EF5150">
        <w:rPr>
          <w:b/>
        </w:rPr>
        <w:t xml:space="preserve">.5. </w:t>
      </w:r>
      <w:r w:rsidR="00925161">
        <w:rPr>
          <w:b/>
        </w:rPr>
        <w:t>Modalités d’attribution des fréquences</w:t>
      </w:r>
    </w:p>
    <w:p w14:paraId="5E60AB83" w14:textId="77777777" w:rsidR="00624E22" w:rsidRDefault="00624E22" w:rsidP="00A95CAA">
      <w:pPr>
        <w:spacing w:after="0" w:line="240" w:lineRule="auto"/>
      </w:pPr>
    </w:p>
    <w:p w14:paraId="3DA0BA33" w14:textId="77596780" w:rsidR="005C34E1" w:rsidRDefault="006F3CC8" w:rsidP="00EF5150">
      <w:pPr>
        <w:spacing w:after="0" w:line="240" w:lineRule="auto"/>
        <w:jc w:val="both"/>
      </w:pPr>
      <w:r>
        <w:t xml:space="preserve">Le paragraphe </w:t>
      </w:r>
      <w:r w:rsidR="00FD79DC">
        <w:t>3</w:t>
      </w:r>
      <w:r w:rsidR="00A528B0">
        <w:t xml:space="preserve">.1 mentionne la liste des bandes de fréquences à considérer dans le cadre du processus d’octroi des licences pour la fourniture d’accès à Internet. </w:t>
      </w:r>
      <w:r w:rsidR="00805D4E">
        <w:t xml:space="preserve">Ce processus prend en compte </w:t>
      </w:r>
      <w:r w:rsidR="00134477">
        <w:t>plusieurs</w:t>
      </w:r>
      <w:r w:rsidR="00805D4E">
        <w:t xml:space="preserve"> types d’acteurs à savoir les opérateurs </w:t>
      </w:r>
      <w:r w:rsidR="00C01FC1">
        <w:t xml:space="preserve">titulaires d’une licence de fourniture de services </w:t>
      </w:r>
      <w:r w:rsidR="00805D4E">
        <w:t>de communications électroniques</w:t>
      </w:r>
      <w:r w:rsidR="00134477">
        <w:t>,</w:t>
      </w:r>
      <w:r w:rsidR="00805D4E">
        <w:t xml:space="preserve"> les </w:t>
      </w:r>
      <w:r w:rsidR="00C01FC1">
        <w:t xml:space="preserve">opérateurs titulaires d’un récépissé de fourniture </w:t>
      </w:r>
      <w:r w:rsidR="00805D4E">
        <w:t>d’</w:t>
      </w:r>
      <w:r w:rsidR="005C34E1">
        <w:t>accès Internet</w:t>
      </w:r>
      <w:r w:rsidR="00134477">
        <w:t>, les opérateurs titulaires d’un récépissé de fourniture d’accès Internet mais exploitant dans des bandes libres</w:t>
      </w:r>
      <w:r w:rsidR="00034052">
        <w:t xml:space="preserve"> et</w:t>
      </w:r>
      <w:r w:rsidR="00134477">
        <w:t xml:space="preserve"> les nouveaux acteurs souhaitant fournir des services d’accès Internet</w:t>
      </w:r>
      <w:r w:rsidR="005C34E1">
        <w:t>.</w:t>
      </w:r>
    </w:p>
    <w:p w14:paraId="5A1408CC" w14:textId="144C645B" w:rsidR="00C01FC1" w:rsidRDefault="005F17D9" w:rsidP="00EF5150">
      <w:pPr>
        <w:spacing w:after="0" w:line="240" w:lineRule="auto"/>
        <w:jc w:val="both"/>
      </w:pPr>
      <w:r>
        <w:t>Au vu du nombre d’acteurs existants, l</w:t>
      </w:r>
      <w:r w:rsidR="00C01FC1">
        <w:t xml:space="preserve">a question </w:t>
      </w:r>
      <w:r>
        <w:t xml:space="preserve">des modalités de mise en concurrence des bandes de fréquences est </w:t>
      </w:r>
      <w:r w:rsidR="00C01FC1">
        <w:t>posée</w:t>
      </w:r>
      <w:r w:rsidR="00183FA7">
        <w:t>.</w:t>
      </w:r>
      <w:r>
        <w:t xml:space="preserve"> Plusieurs cas sont envisageables :</w:t>
      </w:r>
    </w:p>
    <w:p w14:paraId="4DA264E2" w14:textId="24B80783" w:rsidR="00C01FC1" w:rsidRDefault="000F627D" w:rsidP="000F627D">
      <w:pPr>
        <w:pStyle w:val="Paragraphedeliste"/>
        <w:numPr>
          <w:ilvl w:val="0"/>
          <w:numId w:val="7"/>
        </w:numPr>
        <w:spacing w:after="0" w:line="240" w:lineRule="auto"/>
        <w:jc w:val="both"/>
      </w:pPr>
      <w:r>
        <w:t>ouvrir à la compétition toutes les bandes de fréquences</w:t>
      </w:r>
      <w:r w:rsidR="005F17D9">
        <w:t> ;</w:t>
      </w:r>
    </w:p>
    <w:p w14:paraId="28E0496E" w14:textId="2C5184EF" w:rsidR="000F627D" w:rsidRDefault="000F627D" w:rsidP="000F627D">
      <w:pPr>
        <w:pStyle w:val="Paragraphedeliste"/>
        <w:numPr>
          <w:ilvl w:val="0"/>
          <w:numId w:val="7"/>
        </w:numPr>
        <w:spacing w:after="0" w:line="240" w:lineRule="auto"/>
        <w:jc w:val="both"/>
      </w:pPr>
      <w:r>
        <w:t>catégoriser les bandes et les attribuer par type d’opérateurs</w:t>
      </w:r>
      <w:r w:rsidR="005F17D9">
        <w:t>.</w:t>
      </w:r>
    </w:p>
    <w:p w14:paraId="696804C3" w14:textId="6A6B28F7" w:rsidR="000F627D" w:rsidRDefault="000F627D" w:rsidP="00EF5150">
      <w:pPr>
        <w:spacing w:after="0" w:line="240" w:lineRule="auto"/>
        <w:jc w:val="both"/>
      </w:pPr>
    </w:p>
    <w:p w14:paraId="2C0F8651" w14:textId="25472CA7" w:rsidR="000F627D" w:rsidRDefault="000F627D" w:rsidP="00EF5150">
      <w:pPr>
        <w:spacing w:after="0" w:line="240" w:lineRule="auto"/>
        <w:jc w:val="both"/>
      </w:pPr>
      <w:r>
        <w:t xml:space="preserve">Par ailleurs certaines </w:t>
      </w:r>
      <w:r w:rsidR="005F17D9">
        <w:t xml:space="preserve">des </w:t>
      </w:r>
      <w:r>
        <w:t xml:space="preserve">bandes de fréquences </w:t>
      </w:r>
      <w:r w:rsidR="00B30A9D">
        <w:t xml:space="preserve">considérées </w:t>
      </w:r>
      <w:r>
        <w:t xml:space="preserve">sont déjà exploitées par des fournisseurs d’accès à Internet. </w:t>
      </w:r>
      <w:r w:rsidR="00B30A9D">
        <w:t>Il s’agira de trouver le</w:t>
      </w:r>
      <w:r w:rsidR="00AD22C4">
        <w:t>s modalités de réattribution de ces</w:t>
      </w:r>
      <w:r w:rsidR="00B30A9D">
        <w:t xml:space="preserve"> bandes.</w:t>
      </w:r>
    </w:p>
    <w:p w14:paraId="588EFAD1" w14:textId="77777777" w:rsidR="000F627D" w:rsidRDefault="000F627D" w:rsidP="00EF5150">
      <w:pPr>
        <w:spacing w:after="0" w:line="240" w:lineRule="auto"/>
        <w:jc w:val="both"/>
      </w:pPr>
    </w:p>
    <w:p w14:paraId="6A0505B8" w14:textId="79D998D5" w:rsidR="00624E22" w:rsidRDefault="00826483" w:rsidP="00EF5150">
      <w:pPr>
        <w:spacing w:after="0" w:line="240" w:lineRule="auto"/>
        <w:jc w:val="both"/>
      </w:pPr>
      <w:r>
        <w:t>Les contributeurs sont invités à prés</w:t>
      </w:r>
      <w:r w:rsidR="005F17D9">
        <w:t>enter leur point de vue quant aux modalités d’attribution des différentes bandes de fréquences</w:t>
      </w:r>
      <w:r>
        <w:t>.</w:t>
      </w:r>
    </w:p>
    <w:p w14:paraId="5DB958F5" w14:textId="77777777" w:rsidR="00EF5150" w:rsidRDefault="00EF5150" w:rsidP="00A95CAA">
      <w:pPr>
        <w:spacing w:after="0" w:line="240" w:lineRule="auto"/>
      </w:pPr>
    </w:p>
    <w:tbl>
      <w:tblPr>
        <w:tblStyle w:val="Grilledutableau"/>
        <w:tblW w:w="0" w:type="auto"/>
        <w:tblLook w:val="04A0" w:firstRow="1" w:lastRow="0" w:firstColumn="1" w:lastColumn="0" w:noHBand="0" w:noVBand="1"/>
      </w:tblPr>
      <w:tblGrid>
        <w:gridCol w:w="9062"/>
      </w:tblGrid>
      <w:tr w:rsidR="00337113" w14:paraId="5674768F" w14:textId="77777777" w:rsidTr="00337113">
        <w:tc>
          <w:tcPr>
            <w:tcW w:w="9062" w:type="dxa"/>
          </w:tcPr>
          <w:p w14:paraId="2A96852C" w14:textId="38245B14" w:rsidR="00337113" w:rsidRDefault="00337113" w:rsidP="00274F9B">
            <w:pPr>
              <w:jc w:val="both"/>
            </w:pPr>
            <w:r w:rsidRPr="000826BF">
              <w:rPr>
                <w:b/>
              </w:rPr>
              <w:t xml:space="preserve">Question </w:t>
            </w:r>
            <w:r w:rsidR="00493812">
              <w:rPr>
                <w:b/>
              </w:rPr>
              <w:t>1</w:t>
            </w:r>
            <w:r w:rsidR="00813109">
              <w:rPr>
                <w:b/>
              </w:rPr>
              <w:t>1</w:t>
            </w:r>
            <w:r>
              <w:t> :</w:t>
            </w:r>
          </w:p>
          <w:p w14:paraId="6B7FBE7A" w14:textId="5B55B5BC" w:rsidR="00337113" w:rsidRDefault="00134477" w:rsidP="00274F9B">
            <w:pPr>
              <w:jc w:val="both"/>
            </w:pPr>
            <w:r>
              <w:t>Quelle modalité d’ouverture à la concurrence serait la plus optimale ?</w:t>
            </w:r>
            <w:r w:rsidR="00B30A9D">
              <w:t xml:space="preserve"> </w:t>
            </w:r>
            <w:r>
              <w:t>Précisez les avantages et les inconvénients.</w:t>
            </w:r>
          </w:p>
          <w:p w14:paraId="3C42BA14" w14:textId="7CC111A2" w:rsidR="00473874" w:rsidRDefault="00473874" w:rsidP="00274F9B">
            <w:pPr>
              <w:jc w:val="both"/>
            </w:pPr>
          </w:p>
          <w:p w14:paraId="26019552" w14:textId="61AB9CA7" w:rsidR="00925161" w:rsidRDefault="00925161" w:rsidP="00274F9B">
            <w:pPr>
              <w:jc w:val="both"/>
            </w:pPr>
            <w:r w:rsidRPr="000826BF">
              <w:rPr>
                <w:b/>
              </w:rPr>
              <w:t xml:space="preserve">Question </w:t>
            </w:r>
            <w:r w:rsidR="00813109">
              <w:rPr>
                <w:b/>
              </w:rPr>
              <w:t>12</w:t>
            </w:r>
            <w:r>
              <w:t> :</w:t>
            </w:r>
          </w:p>
          <w:p w14:paraId="25CA3711" w14:textId="6E069E2C" w:rsidR="00925161" w:rsidRDefault="00925161" w:rsidP="00274F9B">
            <w:pPr>
              <w:jc w:val="both"/>
            </w:pPr>
            <w:r>
              <w:t>Un même exploitant peut-il être attributaire de plusieurs blocs de fréquences dans la même bande ou dans des bandes différentes ?</w:t>
            </w:r>
          </w:p>
          <w:p w14:paraId="1EBB31D4" w14:textId="42C43AC8" w:rsidR="00337113" w:rsidRDefault="00337113" w:rsidP="00274F9B">
            <w:pPr>
              <w:jc w:val="both"/>
            </w:pPr>
          </w:p>
          <w:p w14:paraId="0E734DE3" w14:textId="4A0BB57F" w:rsidR="00337113" w:rsidRPr="006B41C3" w:rsidRDefault="00337113" w:rsidP="00274F9B">
            <w:pPr>
              <w:jc w:val="both"/>
              <w:rPr>
                <w:b/>
              </w:rPr>
            </w:pPr>
            <w:r w:rsidRPr="006B41C3">
              <w:rPr>
                <w:b/>
              </w:rPr>
              <w:t xml:space="preserve">Question </w:t>
            </w:r>
            <w:r>
              <w:rPr>
                <w:b/>
              </w:rPr>
              <w:t>1</w:t>
            </w:r>
            <w:r w:rsidR="00813109">
              <w:rPr>
                <w:b/>
              </w:rPr>
              <w:t>3</w:t>
            </w:r>
            <w:r w:rsidRPr="006B41C3">
              <w:rPr>
                <w:b/>
              </w:rPr>
              <w:t> :</w:t>
            </w:r>
          </w:p>
          <w:p w14:paraId="787FB5F5" w14:textId="46405BE5" w:rsidR="00337113" w:rsidRDefault="000F627D" w:rsidP="00274F9B">
            <w:pPr>
              <w:jc w:val="both"/>
            </w:pPr>
            <w:r>
              <w:t xml:space="preserve">Quelles </w:t>
            </w:r>
            <w:r w:rsidR="00B30A9D">
              <w:t xml:space="preserve">sont les </w:t>
            </w:r>
            <w:r>
              <w:t xml:space="preserve">modalités </w:t>
            </w:r>
            <w:r w:rsidR="00B30A9D">
              <w:t xml:space="preserve">à prévoir </w:t>
            </w:r>
            <w:r>
              <w:t>pour les bandes de fréqu</w:t>
            </w:r>
            <w:r w:rsidR="00B30A9D">
              <w:t xml:space="preserve">ences déjà </w:t>
            </w:r>
            <w:r w:rsidR="00134477">
              <w:t>exploitées</w:t>
            </w:r>
            <w:r w:rsidR="00B30A9D">
              <w:t xml:space="preserve"> par des fournisseurs d’accès Internet</w:t>
            </w:r>
            <w:r>
              <w:t> ?</w:t>
            </w:r>
          </w:p>
        </w:tc>
      </w:tr>
    </w:tbl>
    <w:p w14:paraId="4CF51DD8" w14:textId="5A4087C8" w:rsidR="00337113" w:rsidRDefault="00337113" w:rsidP="00A95CAA">
      <w:pPr>
        <w:spacing w:after="0" w:line="240" w:lineRule="auto"/>
      </w:pPr>
    </w:p>
    <w:p w14:paraId="78A5E7C2" w14:textId="77777777" w:rsidR="00813109" w:rsidRDefault="00813109" w:rsidP="00A95CAA">
      <w:pPr>
        <w:spacing w:after="0" w:line="240" w:lineRule="auto"/>
      </w:pPr>
    </w:p>
    <w:p w14:paraId="7286D5C3" w14:textId="1B898666" w:rsidR="00337113" w:rsidRPr="00813109" w:rsidRDefault="00813109" w:rsidP="00A95CAA">
      <w:pPr>
        <w:spacing w:after="0" w:line="240" w:lineRule="auto"/>
        <w:rPr>
          <w:b/>
        </w:rPr>
      </w:pPr>
      <w:r w:rsidRPr="00813109">
        <w:rPr>
          <w:b/>
        </w:rPr>
        <w:t>3.6 autres commentaires</w:t>
      </w:r>
    </w:p>
    <w:p w14:paraId="05F5BB18" w14:textId="601E1BFA" w:rsidR="00813109" w:rsidRDefault="00813109" w:rsidP="00A95CAA">
      <w:pPr>
        <w:spacing w:after="0" w:line="240" w:lineRule="auto"/>
      </w:pPr>
    </w:p>
    <w:p w14:paraId="7E242128" w14:textId="6FBB33B7" w:rsidR="00813109" w:rsidRDefault="00813109" w:rsidP="00A95CAA">
      <w:pPr>
        <w:spacing w:after="0" w:line="240" w:lineRule="auto"/>
      </w:pPr>
      <w:r>
        <w:t xml:space="preserve">Les contributeurs sont invités à formuler tout autre commentaire de nature à apporter </w:t>
      </w:r>
      <w:r w:rsidR="00305ECA">
        <w:t>d’avantage d’information ou de précision dans la conduite du processus.</w:t>
      </w:r>
    </w:p>
    <w:p w14:paraId="39C38211" w14:textId="6B99CA4D" w:rsidR="00337113" w:rsidRDefault="00337113" w:rsidP="00A95CAA">
      <w:pPr>
        <w:spacing w:after="0" w:line="240" w:lineRule="auto"/>
      </w:pPr>
    </w:p>
    <w:tbl>
      <w:tblPr>
        <w:tblStyle w:val="Grilledutableau"/>
        <w:tblW w:w="0" w:type="auto"/>
        <w:tblLook w:val="04A0" w:firstRow="1" w:lastRow="0" w:firstColumn="1" w:lastColumn="0" w:noHBand="0" w:noVBand="1"/>
      </w:tblPr>
      <w:tblGrid>
        <w:gridCol w:w="9062"/>
      </w:tblGrid>
      <w:tr w:rsidR="00781798" w14:paraId="16373E83" w14:textId="77777777" w:rsidTr="00781798">
        <w:tc>
          <w:tcPr>
            <w:tcW w:w="9062" w:type="dxa"/>
          </w:tcPr>
          <w:p w14:paraId="3E43B7DB" w14:textId="01E35C45" w:rsidR="00781798" w:rsidRDefault="00781798" w:rsidP="00781798">
            <w:r w:rsidRPr="000826BF">
              <w:rPr>
                <w:b/>
              </w:rPr>
              <w:t xml:space="preserve">Question </w:t>
            </w:r>
            <w:r>
              <w:rPr>
                <w:b/>
              </w:rPr>
              <w:t>1</w:t>
            </w:r>
            <w:r w:rsidR="00AC30AA">
              <w:rPr>
                <w:b/>
              </w:rPr>
              <w:t>4</w:t>
            </w:r>
            <w:r>
              <w:t> :</w:t>
            </w:r>
          </w:p>
          <w:p w14:paraId="7F846C2F" w14:textId="592766F1" w:rsidR="00781798" w:rsidRDefault="00781798" w:rsidP="00781798">
            <w:r>
              <w:t xml:space="preserve">Quelles autres commentaires </w:t>
            </w:r>
            <w:r w:rsidR="00305ECA">
              <w:t>pensez-vous</w:t>
            </w:r>
            <w:r>
              <w:t xml:space="preserve"> pertinent d’ajouter ?</w:t>
            </w:r>
          </w:p>
        </w:tc>
      </w:tr>
    </w:tbl>
    <w:p w14:paraId="05F2E270" w14:textId="109D2417" w:rsidR="00781798" w:rsidRPr="004B5018" w:rsidRDefault="00781798" w:rsidP="00A95CAA">
      <w:pPr>
        <w:spacing w:after="0" w:line="240" w:lineRule="auto"/>
      </w:pPr>
    </w:p>
    <w:sectPr w:rsidR="00781798" w:rsidRPr="004B50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3C404" w14:textId="77777777" w:rsidR="00280AAB" w:rsidRDefault="00280AAB" w:rsidP="00E052EB">
      <w:pPr>
        <w:spacing w:after="0" w:line="240" w:lineRule="auto"/>
      </w:pPr>
      <w:r>
        <w:separator/>
      </w:r>
    </w:p>
  </w:endnote>
  <w:endnote w:type="continuationSeparator" w:id="0">
    <w:p w14:paraId="046B9AC5" w14:textId="77777777" w:rsidR="00280AAB" w:rsidRDefault="00280AAB" w:rsidP="00E05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1015843"/>
      <w:docPartObj>
        <w:docPartGallery w:val="Page Numbers (Bottom of Page)"/>
        <w:docPartUnique/>
      </w:docPartObj>
    </w:sdtPr>
    <w:sdtEndPr/>
    <w:sdtContent>
      <w:sdt>
        <w:sdtPr>
          <w:id w:val="-1769616900"/>
          <w:docPartObj>
            <w:docPartGallery w:val="Page Numbers (Top of Page)"/>
            <w:docPartUnique/>
          </w:docPartObj>
        </w:sdtPr>
        <w:sdtEndPr/>
        <w:sdtContent>
          <w:p w14:paraId="3026875C" w14:textId="249CC15C" w:rsidR="00E052EB" w:rsidRDefault="00E052EB">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E66311">
              <w:rPr>
                <w:b/>
                <w:bCs/>
                <w:noProof/>
              </w:rPr>
              <w:t>6</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E66311">
              <w:rPr>
                <w:b/>
                <w:bCs/>
                <w:noProof/>
              </w:rPr>
              <w:t>6</w:t>
            </w:r>
            <w:r>
              <w:rPr>
                <w:b/>
                <w:bCs/>
                <w:sz w:val="24"/>
                <w:szCs w:val="24"/>
              </w:rPr>
              <w:fldChar w:fldCharType="end"/>
            </w:r>
          </w:p>
        </w:sdtContent>
      </w:sdt>
    </w:sdtContent>
  </w:sdt>
  <w:p w14:paraId="5123A7F7" w14:textId="77777777" w:rsidR="00E052EB" w:rsidRDefault="00E052E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09599" w14:textId="77777777" w:rsidR="00280AAB" w:rsidRDefault="00280AAB" w:rsidP="00E052EB">
      <w:pPr>
        <w:spacing w:after="0" w:line="240" w:lineRule="auto"/>
      </w:pPr>
      <w:r>
        <w:separator/>
      </w:r>
    </w:p>
  </w:footnote>
  <w:footnote w:type="continuationSeparator" w:id="0">
    <w:p w14:paraId="3BDE8B4B" w14:textId="77777777" w:rsidR="00280AAB" w:rsidRDefault="00280AAB" w:rsidP="00E052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396631"/>
    <w:multiLevelType w:val="hybridMultilevel"/>
    <w:tmpl w:val="3E08433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5C422F7"/>
    <w:multiLevelType w:val="hybridMultilevel"/>
    <w:tmpl w:val="7D40704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E543284"/>
    <w:multiLevelType w:val="hybridMultilevel"/>
    <w:tmpl w:val="EC60C1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A734569"/>
    <w:multiLevelType w:val="hybridMultilevel"/>
    <w:tmpl w:val="696CDA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CEE7153"/>
    <w:multiLevelType w:val="hybridMultilevel"/>
    <w:tmpl w:val="8C8A08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D321C56"/>
    <w:multiLevelType w:val="hybridMultilevel"/>
    <w:tmpl w:val="C78840A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5300805"/>
    <w:multiLevelType w:val="hybridMultilevel"/>
    <w:tmpl w:val="B45839A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C23"/>
    <w:rsid w:val="000045DF"/>
    <w:rsid w:val="00004BA7"/>
    <w:rsid w:val="000236F3"/>
    <w:rsid w:val="00034052"/>
    <w:rsid w:val="00065259"/>
    <w:rsid w:val="000826BF"/>
    <w:rsid w:val="000948BD"/>
    <w:rsid w:val="000F627D"/>
    <w:rsid w:val="001051E0"/>
    <w:rsid w:val="0011654E"/>
    <w:rsid w:val="001176E8"/>
    <w:rsid w:val="00124248"/>
    <w:rsid w:val="00134477"/>
    <w:rsid w:val="00150FBB"/>
    <w:rsid w:val="001612BF"/>
    <w:rsid w:val="0016152E"/>
    <w:rsid w:val="00183FA7"/>
    <w:rsid w:val="001B4793"/>
    <w:rsid w:val="001C1D55"/>
    <w:rsid w:val="001E268B"/>
    <w:rsid w:val="001E5E39"/>
    <w:rsid w:val="001F0824"/>
    <w:rsid w:val="00211FE0"/>
    <w:rsid w:val="00217261"/>
    <w:rsid w:val="00223C89"/>
    <w:rsid w:val="0023046F"/>
    <w:rsid w:val="00241717"/>
    <w:rsid w:val="00274F9B"/>
    <w:rsid w:val="00280AAB"/>
    <w:rsid w:val="002B193E"/>
    <w:rsid w:val="002B4556"/>
    <w:rsid w:val="00305ECA"/>
    <w:rsid w:val="00315374"/>
    <w:rsid w:val="00320E72"/>
    <w:rsid w:val="00337113"/>
    <w:rsid w:val="00337168"/>
    <w:rsid w:val="00342C25"/>
    <w:rsid w:val="003A4AC0"/>
    <w:rsid w:val="003B05B1"/>
    <w:rsid w:val="00450779"/>
    <w:rsid w:val="00473801"/>
    <w:rsid w:val="00473874"/>
    <w:rsid w:val="00493812"/>
    <w:rsid w:val="00494947"/>
    <w:rsid w:val="004B5018"/>
    <w:rsid w:val="004B5DDB"/>
    <w:rsid w:val="004B7E69"/>
    <w:rsid w:val="004F42F9"/>
    <w:rsid w:val="00501466"/>
    <w:rsid w:val="005C1780"/>
    <w:rsid w:val="005C34E1"/>
    <w:rsid w:val="005C5E72"/>
    <w:rsid w:val="005E587E"/>
    <w:rsid w:val="005F17D9"/>
    <w:rsid w:val="006249D5"/>
    <w:rsid w:val="00624E22"/>
    <w:rsid w:val="00643266"/>
    <w:rsid w:val="00644CBC"/>
    <w:rsid w:val="006B41C3"/>
    <w:rsid w:val="006D2FBE"/>
    <w:rsid w:val="006F3CC8"/>
    <w:rsid w:val="00754B5F"/>
    <w:rsid w:val="00781798"/>
    <w:rsid w:val="00781D5B"/>
    <w:rsid w:val="0079051E"/>
    <w:rsid w:val="007D4541"/>
    <w:rsid w:val="00805D4E"/>
    <w:rsid w:val="00813109"/>
    <w:rsid w:val="00826483"/>
    <w:rsid w:val="008279C5"/>
    <w:rsid w:val="0085200A"/>
    <w:rsid w:val="00874ABD"/>
    <w:rsid w:val="00875E29"/>
    <w:rsid w:val="00896765"/>
    <w:rsid w:val="008B7A18"/>
    <w:rsid w:val="0092111E"/>
    <w:rsid w:val="0092458E"/>
    <w:rsid w:val="00925161"/>
    <w:rsid w:val="009639AE"/>
    <w:rsid w:val="009A7570"/>
    <w:rsid w:val="009D6473"/>
    <w:rsid w:val="009F2D2D"/>
    <w:rsid w:val="00A03C34"/>
    <w:rsid w:val="00A234CA"/>
    <w:rsid w:val="00A23FBF"/>
    <w:rsid w:val="00A35F2D"/>
    <w:rsid w:val="00A44B03"/>
    <w:rsid w:val="00A528B0"/>
    <w:rsid w:val="00A5607B"/>
    <w:rsid w:val="00A57C07"/>
    <w:rsid w:val="00A72EB1"/>
    <w:rsid w:val="00A9586F"/>
    <w:rsid w:val="00A95CAA"/>
    <w:rsid w:val="00AB2079"/>
    <w:rsid w:val="00AC2A4B"/>
    <w:rsid w:val="00AC30AA"/>
    <w:rsid w:val="00AD22C4"/>
    <w:rsid w:val="00AD392E"/>
    <w:rsid w:val="00AD7100"/>
    <w:rsid w:val="00AE0A83"/>
    <w:rsid w:val="00B30A9D"/>
    <w:rsid w:val="00B52C23"/>
    <w:rsid w:val="00B7676F"/>
    <w:rsid w:val="00BD491C"/>
    <w:rsid w:val="00C01FC1"/>
    <w:rsid w:val="00C53401"/>
    <w:rsid w:val="00C5613E"/>
    <w:rsid w:val="00C666FE"/>
    <w:rsid w:val="00C71E4A"/>
    <w:rsid w:val="00C72571"/>
    <w:rsid w:val="00C87F3D"/>
    <w:rsid w:val="00C91DA8"/>
    <w:rsid w:val="00C91EEA"/>
    <w:rsid w:val="00CB4959"/>
    <w:rsid w:val="00CD674C"/>
    <w:rsid w:val="00D013AD"/>
    <w:rsid w:val="00D21021"/>
    <w:rsid w:val="00D67833"/>
    <w:rsid w:val="00D90F63"/>
    <w:rsid w:val="00DA0CB7"/>
    <w:rsid w:val="00DE5D2D"/>
    <w:rsid w:val="00DF47BB"/>
    <w:rsid w:val="00E01ECC"/>
    <w:rsid w:val="00E03086"/>
    <w:rsid w:val="00E052EB"/>
    <w:rsid w:val="00E236C1"/>
    <w:rsid w:val="00E544FF"/>
    <w:rsid w:val="00E66311"/>
    <w:rsid w:val="00E872C5"/>
    <w:rsid w:val="00E90966"/>
    <w:rsid w:val="00E975BC"/>
    <w:rsid w:val="00EA1EA8"/>
    <w:rsid w:val="00EE1390"/>
    <w:rsid w:val="00EF5150"/>
    <w:rsid w:val="00F12C1E"/>
    <w:rsid w:val="00F8119E"/>
    <w:rsid w:val="00FA74B0"/>
    <w:rsid w:val="00FD79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BDD67"/>
  <w15:chartTrackingRefBased/>
  <w15:docId w15:val="{FE1B8953-27C5-4491-AF53-F35A361D5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11FE0"/>
    <w:pPr>
      <w:ind w:left="720"/>
      <w:contextualSpacing/>
    </w:pPr>
  </w:style>
  <w:style w:type="table" w:styleId="Grilledutableau">
    <w:name w:val="Table Grid"/>
    <w:basedOn w:val="TableauNormal"/>
    <w:uiPriority w:val="39"/>
    <w:rsid w:val="00161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052EB"/>
    <w:pPr>
      <w:tabs>
        <w:tab w:val="center" w:pos="4536"/>
        <w:tab w:val="right" w:pos="9072"/>
      </w:tabs>
      <w:spacing w:after="0" w:line="240" w:lineRule="auto"/>
    </w:pPr>
  </w:style>
  <w:style w:type="character" w:customStyle="1" w:styleId="En-tteCar">
    <w:name w:val="En-tête Car"/>
    <w:basedOn w:val="Policepardfaut"/>
    <w:link w:val="En-tte"/>
    <w:uiPriority w:val="99"/>
    <w:rsid w:val="00E052EB"/>
  </w:style>
  <w:style w:type="paragraph" w:styleId="Pieddepage">
    <w:name w:val="footer"/>
    <w:basedOn w:val="Normal"/>
    <w:link w:val="PieddepageCar"/>
    <w:uiPriority w:val="99"/>
    <w:unhideWhenUsed/>
    <w:rsid w:val="00E052E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052EB"/>
  </w:style>
  <w:style w:type="paragraph" w:styleId="Textedebulles">
    <w:name w:val="Balloon Text"/>
    <w:basedOn w:val="Normal"/>
    <w:link w:val="TextedebullesCar"/>
    <w:uiPriority w:val="99"/>
    <w:semiHidden/>
    <w:unhideWhenUsed/>
    <w:rsid w:val="000045D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045DF"/>
    <w:rPr>
      <w:rFonts w:ascii="Segoe UI" w:hAnsi="Segoe UI" w:cs="Segoe UI"/>
      <w:sz w:val="18"/>
      <w:szCs w:val="18"/>
    </w:rPr>
  </w:style>
  <w:style w:type="character" w:styleId="Marquedecommentaire">
    <w:name w:val="annotation reference"/>
    <w:basedOn w:val="Policepardfaut"/>
    <w:uiPriority w:val="99"/>
    <w:semiHidden/>
    <w:unhideWhenUsed/>
    <w:rsid w:val="00493812"/>
    <w:rPr>
      <w:sz w:val="16"/>
      <w:szCs w:val="16"/>
    </w:rPr>
  </w:style>
  <w:style w:type="paragraph" w:styleId="Commentaire">
    <w:name w:val="annotation text"/>
    <w:basedOn w:val="Normal"/>
    <w:link w:val="CommentaireCar"/>
    <w:uiPriority w:val="99"/>
    <w:semiHidden/>
    <w:unhideWhenUsed/>
    <w:rsid w:val="00493812"/>
    <w:pPr>
      <w:spacing w:line="240" w:lineRule="auto"/>
    </w:pPr>
    <w:rPr>
      <w:sz w:val="20"/>
      <w:szCs w:val="20"/>
    </w:rPr>
  </w:style>
  <w:style w:type="character" w:customStyle="1" w:styleId="CommentaireCar">
    <w:name w:val="Commentaire Car"/>
    <w:basedOn w:val="Policepardfaut"/>
    <w:link w:val="Commentaire"/>
    <w:uiPriority w:val="99"/>
    <w:semiHidden/>
    <w:rsid w:val="00493812"/>
    <w:rPr>
      <w:sz w:val="20"/>
      <w:szCs w:val="20"/>
    </w:rPr>
  </w:style>
  <w:style w:type="paragraph" w:styleId="Objetducommentaire">
    <w:name w:val="annotation subject"/>
    <w:basedOn w:val="Commentaire"/>
    <w:next w:val="Commentaire"/>
    <w:link w:val="ObjetducommentaireCar"/>
    <w:uiPriority w:val="99"/>
    <w:semiHidden/>
    <w:unhideWhenUsed/>
    <w:rsid w:val="00493812"/>
    <w:rPr>
      <w:b/>
      <w:bCs/>
    </w:rPr>
  </w:style>
  <w:style w:type="character" w:customStyle="1" w:styleId="ObjetducommentaireCar">
    <w:name w:val="Objet du commentaire Car"/>
    <w:basedOn w:val="CommentaireCar"/>
    <w:link w:val="Objetducommentaire"/>
    <w:uiPriority w:val="99"/>
    <w:semiHidden/>
    <w:rsid w:val="00493812"/>
    <w:rPr>
      <w:b/>
      <w:bCs/>
      <w:sz w:val="20"/>
      <w:szCs w:val="20"/>
    </w:rPr>
  </w:style>
  <w:style w:type="character" w:styleId="Lienhypertexte">
    <w:name w:val="Hyperlink"/>
    <w:basedOn w:val="Policepardfaut"/>
    <w:uiPriority w:val="99"/>
    <w:unhideWhenUsed/>
    <w:rsid w:val="000948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arcep.bf" TargetMode="External"/><Relationship Id="rId4" Type="http://schemas.openxmlformats.org/officeDocument/2006/relationships/webSettings" Target="webSettings.xml"/><Relationship Id="rId9" Type="http://schemas.openxmlformats.org/officeDocument/2006/relationships/hyperlink" Target="mailto:secretariat@arcep.b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1963</Words>
  <Characters>10800</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DAMIBA</dc:creator>
  <cp:keywords/>
  <dc:description/>
  <cp:lastModifiedBy>zabadoy13@gmail.com</cp:lastModifiedBy>
  <cp:revision>3</cp:revision>
  <dcterms:created xsi:type="dcterms:W3CDTF">2020-11-30T11:24:00Z</dcterms:created>
  <dcterms:modified xsi:type="dcterms:W3CDTF">2020-11-30T11:27:00Z</dcterms:modified>
</cp:coreProperties>
</file>